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常州工业职业技术学院省级高水平学院建设年度目标进度表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编制说明：</w:t>
      </w:r>
      <w:r>
        <w:rPr>
          <w:rFonts w:hint="eastAsia"/>
          <w:lang w:val="en-US" w:eastAsia="zh-CN"/>
        </w:rPr>
        <w:t>所有建设内容重点编制2021年建设目标；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color w:val="C00000"/>
          <w:lang w:val="en-US" w:eastAsia="zh-CN"/>
        </w:rPr>
        <w:t>前十项建设内容涉及省级高水平学院建设方案重点编制2021-2023年建设目标</w:t>
      </w: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编制依据：</w:t>
      </w:r>
      <w:r>
        <w:rPr>
          <w:rFonts w:hint="eastAsia"/>
          <w:lang w:val="en-US" w:eastAsia="zh-CN"/>
        </w:rPr>
        <w:t>《提质培优》《苏锡常都市圈样板建设》《江苏质量提升计划》《综合考核指标》《学校863计划》</w:t>
      </w:r>
    </w:p>
    <w:p>
      <w:pPr>
        <w:jc w:val="center"/>
        <w:rPr>
          <w:rFonts w:hint="eastAsia"/>
          <w:vertAlign w:val="baseline"/>
          <w:lang w:val="en-US" w:eastAsia="zh-CN"/>
        </w:rPr>
      </w:pPr>
      <w:r>
        <w:rPr>
          <w:rFonts w:hint="eastAsia"/>
          <w:b/>
          <w:bCs/>
          <w:vertAlign w:val="baseline"/>
          <w:lang w:val="en-US" w:eastAsia="zh-CN"/>
        </w:rPr>
        <w:t>填写说明：</w:t>
      </w:r>
      <w:r>
        <w:rPr>
          <w:rFonts w:hint="eastAsia"/>
          <w:vertAlign w:val="baseline"/>
          <w:lang w:val="en-US" w:eastAsia="zh-CN"/>
        </w:rPr>
        <w:t>每项建设内容的建设任务行数自行删减；表中目前所填内容均为举例，均需修改完善；需要分两级的可以分两级，如下表举例个别任务</w:t>
      </w:r>
    </w:p>
    <w:p>
      <w:pPr>
        <w:jc w:val="both"/>
        <w:rPr>
          <w:rFonts w:hint="default"/>
          <w:b/>
          <w:bCs/>
          <w:vertAlign w:val="baseline"/>
          <w:lang w:val="en-US" w:eastAsia="zh-CN"/>
        </w:rPr>
      </w:pP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24"/>
        <w:gridCol w:w="1352"/>
        <w:gridCol w:w="955"/>
        <w:gridCol w:w="1186"/>
        <w:gridCol w:w="1118"/>
        <w:gridCol w:w="1832"/>
        <w:gridCol w:w="1860"/>
        <w:gridCol w:w="1905"/>
        <w:gridCol w:w="795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257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建设任务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责任校领导</w:t>
            </w:r>
          </w:p>
        </w:tc>
        <w:tc>
          <w:tcPr>
            <w:tcW w:w="118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牵头部门</w:t>
            </w:r>
          </w:p>
        </w:tc>
        <w:tc>
          <w:tcPr>
            <w:tcW w:w="1118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协同部门</w:t>
            </w:r>
          </w:p>
        </w:tc>
        <w:tc>
          <w:tcPr>
            <w:tcW w:w="7049" w:type="dxa"/>
            <w:gridSpan w:val="5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十四五规划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76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597" w:type="dxa"/>
            <w:gridSpan w:val="3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省级高水平学院建设</w:t>
            </w:r>
          </w:p>
        </w:tc>
        <w:tc>
          <w:tcPr>
            <w:tcW w:w="795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76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年度目标</w:t>
            </w:r>
          </w:p>
        </w:tc>
        <w:tc>
          <w:tcPr>
            <w:tcW w:w="1860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年度目标</w:t>
            </w:r>
          </w:p>
        </w:tc>
        <w:tc>
          <w:tcPr>
            <w:tcW w:w="1905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年度目标</w:t>
            </w:r>
          </w:p>
        </w:tc>
        <w:tc>
          <w:tcPr>
            <w:tcW w:w="795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年度目标</w:t>
            </w:r>
          </w:p>
        </w:tc>
        <w:tc>
          <w:tcPr>
            <w:tcW w:w="65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76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2021年</w:t>
            </w:r>
          </w:p>
        </w:tc>
        <w:tc>
          <w:tcPr>
            <w:tcW w:w="1860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2022年</w:t>
            </w:r>
          </w:p>
        </w:tc>
        <w:tc>
          <w:tcPr>
            <w:tcW w:w="1905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2023年</w:t>
            </w:r>
          </w:p>
        </w:tc>
        <w:tc>
          <w:tcPr>
            <w:tcW w:w="795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</w:t>
            </w:r>
          </w:p>
        </w:tc>
        <w:tc>
          <w:tcPr>
            <w:tcW w:w="65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288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line="26" w:lineRule="atLeast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strike w:val="0"/>
                <w:dstrike w:val="0"/>
                <w:kern w:val="0"/>
                <w:sz w:val="21"/>
                <w:szCs w:val="21"/>
                <w:lang w:val="en-US" w:eastAsia="zh-CN" w:bidi="ar"/>
              </w:rPr>
              <w:t>1加强党的建设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立项全国党建工作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标杆院系、样板支部</w:t>
            </w:r>
          </w:p>
        </w:tc>
        <w:tc>
          <w:tcPr>
            <w:tcW w:w="135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288" w:type="dxa"/>
            <w:vMerge w:val="continue"/>
            <w:vAlign w:val="top"/>
          </w:tcPr>
          <w:p/>
        </w:tc>
        <w:tc>
          <w:tcPr>
            <w:tcW w:w="122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立项市级以上教育系统“党员教育实境课堂示范点”</w:t>
            </w:r>
          </w:p>
        </w:tc>
        <w:tc>
          <w:tcPr>
            <w:tcW w:w="135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立项市级以上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支部书记工作室</w:t>
            </w: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立项省级以上示范性马克思主义学院</w:t>
            </w: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288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line="26" w:lineRule="atLeast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strike w:val="0"/>
                <w:dstrike w:val="0"/>
                <w:kern w:val="0"/>
                <w:sz w:val="21"/>
                <w:szCs w:val="21"/>
                <w:lang w:val="en-US" w:eastAsia="zh-CN" w:bidi="ar"/>
              </w:rPr>
              <w:t xml:space="preserve">2打造技术技能人才培养高地 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体系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B1中职高职3+3项目获批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288" w:type="dxa"/>
            <w:vMerge w:val="continue"/>
            <w:vAlign w:val="top"/>
          </w:tcPr>
          <w:p/>
        </w:tc>
        <w:tc>
          <w:tcPr>
            <w:tcW w:w="122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B2高职本科4+0、3+2项目获批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实施创新创业培育工程，打造双创能力培养高地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国家级互联网+创新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创业大赛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国家级“挑战杯”创新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创业大赛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省级互联网+创新创业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大赛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省级“挑战杯”创新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创业大赛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省级以上创新创业大赛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参赛度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创新创业平台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大赛</w:t>
            </w:r>
          </w:p>
        </w:tc>
        <w:tc>
          <w:tcPr>
            <w:tcW w:w="1352" w:type="dxa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省级以上技能大赛承办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全国职业院校技能大赛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江苏省职业院校技能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大赛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省级数学建模、英语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比赛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省级体育集体和单项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比赛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1+X证书制度试点项目</w:t>
            </w:r>
          </w:p>
        </w:tc>
        <w:tc>
          <w:tcPr>
            <w:tcW w:w="1352" w:type="dxa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省级以上教学成果奖</w:t>
            </w:r>
          </w:p>
        </w:tc>
        <w:tc>
          <w:tcPr>
            <w:tcW w:w="1352" w:type="dxa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88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line="26" w:lineRule="atLeast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strike w:val="0"/>
                <w:dstrike w:val="0"/>
                <w:kern w:val="0"/>
                <w:sz w:val="21"/>
                <w:szCs w:val="21"/>
                <w:lang w:val="en-US" w:eastAsia="zh-CN" w:bidi="ar"/>
              </w:rPr>
              <w:t xml:space="preserve">3打造技术技能创新服务平台 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到账经费2100万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88" w:type="dxa"/>
            <w:vMerge w:val="continue"/>
            <w:vAlign w:val="top"/>
          </w:tcPr>
          <w:p/>
        </w:tc>
        <w:tc>
          <w:tcPr>
            <w:tcW w:w="122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经济效益证明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88" w:type="dxa"/>
            <w:vMerge w:val="continue"/>
            <w:vAlign w:val="top"/>
          </w:tcPr>
          <w:p/>
        </w:tc>
        <w:tc>
          <w:tcPr>
            <w:tcW w:w="122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科技类纵向项目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省级及以上科技类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纵向项目立项数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88" w:type="dxa"/>
            <w:vMerge w:val="continue"/>
            <w:vAlign w:val="top"/>
          </w:tcPr>
          <w:p/>
        </w:tc>
        <w:tc>
          <w:tcPr>
            <w:tcW w:w="122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厅级科技类纵向项目立项数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88" w:type="dxa"/>
            <w:vMerge w:val="continue"/>
            <w:vAlign w:val="top"/>
          </w:tcPr>
          <w:p/>
        </w:tc>
        <w:tc>
          <w:tcPr>
            <w:tcW w:w="122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专利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专利（发明专利、实用新型、外观专利）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申请数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88" w:type="dxa"/>
            <w:vMerge w:val="continue"/>
            <w:vAlign w:val="top"/>
          </w:tcPr>
          <w:p/>
        </w:tc>
        <w:tc>
          <w:tcPr>
            <w:tcW w:w="122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专利（发明专利、实用新型、外观专利）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授权数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知识产权转化数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技术合同成交额</w:t>
            </w: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科技成果、团队及平台建设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省级及以上科技成果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厅级及以上科技成果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江苏省高等学校优秀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科技创新团队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市级及以上科技创新平台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strike w:val="0"/>
                <w:dstrike w:val="0"/>
                <w:kern w:val="0"/>
                <w:sz w:val="21"/>
                <w:szCs w:val="21"/>
                <w:lang w:val="en-US" w:eastAsia="zh-CN" w:bidi="ar"/>
              </w:rPr>
              <w:t>4打造高水平专业群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建设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国家级在线开放课程认定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ascii="宋体" w:hAnsi="宋体" w:eastAsia="宋体" w:cs="宋体"/>
                <w:strike w:val="0"/>
                <w:dstrike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省级在线开放课程立项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ascii="宋体" w:hAnsi="宋体" w:eastAsia="宋体" w:cs="宋体"/>
                <w:strike w:val="0"/>
                <w:dstrike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教材建设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国家规划教材获批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ascii="宋体" w:hAnsi="宋体" w:eastAsia="宋体" w:cs="宋体"/>
                <w:strike w:val="0"/>
                <w:dstrike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省级重点教材获批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ascii="宋体" w:hAnsi="宋体" w:eastAsia="宋体" w:cs="宋体"/>
                <w:strike w:val="0"/>
                <w:dstrike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资源库建设</w:t>
            </w: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省级以上职业教育专业(群)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教学资源库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ascii="宋体" w:hAnsi="宋体" w:eastAsia="宋体" w:cs="宋体"/>
                <w:strike w:val="0"/>
                <w:dstrike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/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/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strike w:val="0"/>
                <w:dstrike w:val="0"/>
                <w:kern w:val="0"/>
                <w:sz w:val="21"/>
                <w:szCs w:val="21"/>
                <w:lang w:val="en-US" w:eastAsia="zh-CN" w:bidi="ar"/>
              </w:rPr>
              <w:t>5打造高水平双师队伍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能力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国家级职业院校教师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教学能力大赛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/>
        </w:tc>
        <w:tc>
          <w:tcPr>
            <w:tcW w:w="122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省级职业院校教师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教学能力大赛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发展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市级以上技能大师工作室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省级以上教师教学创新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团队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高层次人才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引进博士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正式入职博士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内培取得博士学位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内培考取博士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柔性引进知名专家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省级及以上人才项目申报成功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省级及以上产教融合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专家申报成功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strike w:val="0"/>
                <w:dstrike w:val="0"/>
                <w:kern w:val="0"/>
                <w:sz w:val="21"/>
                <w:szCs w:val="21"/>
                <w:lang w:val="en-US" w:eastAsia="zh-CN" w:bidi="ar"/>
              </w:rPr>
              <w:t>6提升校企合作水平</w:t>
            </w:r>
          </w:p>
        </w:tc>
        <w:tc>
          <w:tcPr>
            <w:tcW w:w="1224" w:type="dxa"/>
            <w:vMerge w:val="restart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职教集团</w:t>
            </w: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创建省级以上职教集团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ascii="宋体" w:hAnsi="宋体" w:eastAsia="宋体" w:cs="宋体"/>
                <w:strike w:val="0"/>
                <w:dstrike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4" w:type="dxa"/>
            <w:vMerge w:val="continue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示范性职教集团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校企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合作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专业平均拥有校企合作企业数量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专业平均拥有深度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校企合作企业数增量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vertAlign w:val="baseline"/>
              </w:rPr>
            </w:pPr>
          </w:p>
        </w:tc>
        <w:tc>
          <w:tcPr>
            <w:tcW w:w="122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入选省级校企深度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合作典型案例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ascii="宋体" w:hAnsi="宋体" w:eastAsia="宋体" w:cs="宋体"/>
                <w:strike w:val="0"/>
                <w:dstrike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融合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平台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省级以上产教融合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平台立项数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/>
        </w:tc>
        <w:tc>
          <w:tcPr>
            <w:tcW w:w="122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省级以上产教融合型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企业合作数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ascii="宋体" w:hAnsi="宋体" w:eastAsia="宋体" w:cs="宋体"/>
                <w:strike w:val="0"/>
                <w:dstrike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strike w:val="0"/>
                <w:dstrike w:val="0"/>
                <w:kern w:val="0"/>
                <w:sz w:val="21"/>
                <w:szCs w:val="21"/>
                <w:lang w:val="en-US" w:eastAsia="zh-CN" w:bidi="ar"/>
              </w:rPr>
              <w:t>7提升服务发展水平</w:t>
            </w: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288" w:type="dxa"/>
            <w:vMerge w:val="continue"/>
            <w:vAlign w:val="top"/>
          </w:tcPr>
          <w:p/>
        </w:tc>
        <w:tc>
          <w:tcPr>
            <w:tcW w:w="1224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社会培训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培育重点领域（人群）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典型培训项目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培育培训名师或名优团队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社会培训到账经费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ascii="宋体" w:hAnsi="宋体" w:eastAsia="宋体" w:cs="宋体"/>
                <w:strike w:val="0"/>
                <w:dstrike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strike w:val="0"/>
                <w:dstrike w:val="0"/>
                <w:kern w:val="0"/>
                <w:sz w:val="21"/>
                <w:szCs w:val="21"/>
                <w:lang w:val="en-US" w:eastAsia="zh-CN" w:bidi="ar"/>
              </w:rPr>
              <w:t>8提升学校治理水平</w:t>
            </w:r>
          </w:p>
        </w:tc>
        <w:tc>
          <w:tcPr>
            <w:tcW w:w="1224" w:type="dxa"/>
            <w:vAlign w:val="top"/>
          </w:tcPr>
          <w:p>
            <w:r>
              <w:t>以章程为核心构建现代职业学校制度</w:t>
            </w:r>
            <w:r>
              <w:rPr>
                <w:rFonts w:hint="eastAsia"/>
                <w:lang w:val="en-US" w:eastAsia="zh-CN"/>
              </w:rPr>
              <w:t>新</w:t>
            </w:r>
            <w:r>
              <w:t>体系</w:t>
            </w:r>
          </w:p>
        </w:tc>
        <w:tc>
          <w:tcPr>
            <w:tcW w:w="135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/>
        </w:tc>
        <w:tc>
          <w:tcPr>
            <w:tcW w:w="1224" w:type="dxa"/>
            <w:vAlign w:val="top"/>
          </w:tcPr>
          <w:p>
            <w:r>
              <w:t>以理事会为平台构建</w:t>
            </w:r>
            <w:r>
              <w:rPr>
                <w:rFonts w:hint="eastAsia"/>
                <w:lang w:val="en-US" w:eastAsia="zh-CN"/>
              </w:rPr>
              <w:t>协同</w:t>
            </w:r>
            <w:r>
              <w:t>办学</w:t>
            </w:r>
            <w:r>
              <w:rPr>
                <w:rFonts w:hint="eastAsia"/>
                <w:lang w:val="en-US" w:eastAsia="zh-CN"/>
              </w:rPr>
              <w:t>新</w:t>
            </w:r>
            <w:r>
              <w:t>格局</w:t>
            </w: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Align w:val="top"/>
          </w:tcPr>
          <w:p>
            <w:r>
              <w:t>以</w:t>
            </w:r>
            <w:r>
              <w:rPr>
                <w:rFonts w:hint="eastAsia"/>
                <w:lang w:val="en-US" w:eastAsia="zh-CN"/>
              </w:rPr>
              <w:t>学术</w:t>
            </w:r>
            <w:r>
              <w:t>委员会为抓手</w:t>
            </w:r>
            <w:r>
              <w:rPr>
                <w:rFonts w:hint="eastAsia"/>
                <w:lang w:val="en-US" w:eastAsia="zh-CN"/>
              </w:rPr>
              <w:t>提升学术治理能力新路径</w:t>
            </w: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杨劲松</w:t>
            </w:r>
          </w:p>
        </w:tc>
        <w:tc>
          <w:tcPr>
            <w:tcW w:w="118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学术委员会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专业建设委员会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教材建设委员会</w:t>
            </w: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Align w:val="top"/>
          </w:tcPr>
          <w:p>
            <w:r>
              <w:t>以“</w:t>
            </w:r>
            <w:r>
              <w:rPr>
                <w:rFonts w:hint="eastAsia"/>
                <w:lang w:val="en-US" w:eastAsia="zh-CN"/>
              </w:rPr>
              <w:t>代表大会</w:t>
            </w:r>
            <w:r>
              <w:t>”为纽带完善民主管理</w:t>
            </w:r>
            <w:r>
              <w:rPr>
                <w:rFonts w:hint="eastAsia"/>
                <w:lang w:val="en-US" w:eastAsia="zh-CN"/>
              </w:rPr>
              <w:t>新</w:t>
            </w:r>
            <w:r>
              <w:t>机制</w:t>
            </w: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党政办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学工处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团委</w:t>
            </w:r>
          </w:p>
        </w:tc>
        <w:tc>
          <w:tcPr>
            <w:tcW w:w="111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Align w:val="top"/>
          </w:tcPr>
          <w:p>
            <w:r>
              <w:t>以“放管服”为推力深化</w:t>
            </w:r>
            <w:r>
              <w:rPr>
                <w:rFonts w:hint="eastAsia"/>
                <w:lang w:val="en-US" w:eastAsia="zh-CN"/>
              </w:rPr>
              <w:t>校</w:t>
            </w:r>
            <w:r>
              <w:t>院两级治理</w:t>
            </w:r>
            <w:r>
              <w:rPr>
                <w:rFonts w:hint="default"/>
              </w:rPr>
              <w:t>新架构</w:t>
            </w: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以经济活动为主线健全“透明和谐”内部控制新体系</w:t>
            </w:r>
          </w:p>
        </w:tc>
        <w:tc>
          <w:tcPr>
            <w:tcW w:w="1352" w:type="dxa"/>
          </w:tcPr>
          <w:p/>
        </w:tc>
        <w:tc>
          <w:tcPr>
            <w:tcW w:w="9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吴丽云</w:t>
            </w:r>
          </w:p>
        </w:tc>
        <w:tc>
          <w:tcPr>
            <w:tcW w:w="118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财务处</w:t>
            </w:r>
          </w:p>
        </w:tc>
        <w:tc>
          <w:tcPr>
            <w:tcW w:w="11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职能部门</w:t>
            </w: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以信息化为手段打造“常工业学校大脑”数据治理新平台</w:t>
            </w:r>
          </w:p>
        </w:tc>
        <w:tc>
          <w:tcPr>
            <w:tcW w:w="1352" w:type="dxa"/>
          </w:tcPr>
          <w:p/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以系统整体为思路形成“科学导向”教育评价新方案</w:t>
            </w:r>
          </w:p>
        </w:tc>
        <w:tc>
          <w:tcPr>
            <w:tcW w:w="1352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ascii="宋体" w:hAnsi="宋体" w:eastAsia="宋体" w:cs="宋体"/>
                <w:strike w:val="0"/>
                <w:dstrike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strike w:val="0"/>
                <w:dstrike w:val="0"/>
                <w:kern w:val="0"/>
                <w:sz w:val="21"/>
                <w:szCs w:val="21"/>
                <w:lang w:val="en-US" w:eastAsia="zh-CN" w:bidi="ar"/>
              </w:rPr>
              <w:t>9提升信息化水平</w:t>
            </w:r>
          </w:p>
        </w:tc>
        <w:tc>
          <w:tcPr>
            <w:tcW w:w="1224" w:type="dxa"/>
            <w:vAlign w:val="top"/>
          </w:tcPr>
          <w:p>
            <w:pPr>
              <w:rPr>
                <w:vertAlign w:val="baseline"/>
              </w:rPr>
            </w:pPr>
            <w:r>
              <w:t>以章程为核心构建现代职业学校制度</w:t>
            </w:r>
            <w:r>
              <w:rPr>
                <w:rFonts w:hint="eastAsia"/>
                <w:lang w:val="en-US" w:eastAsia="zh-CN"/>
              </w:rPr>
              <w:t>新</w:t>
            </w:r>
            <w:r>
              <w:t>体系</w:t>
            </w: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姚庆文</w:t>
            </w: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/>
        </w:tc>
        <w:tc>
          <w:tcPr>
            <w:tcW w:w="1224" w:type="dxa"/>
            <w:vAlign w:val="top"/>
          </w:tcPr>
          <w:p>
            <w:pPr>
              <w:rPr>
                <w:vertAlign w:val="baseline"/>
              </w:rPr>
            </w:pPr>
            <w:r>
              <w:t>以理事会为平台构建</w:t>
            </w:r>
            <w:r>
              <w:rPr>
                <w:rFonts w:hint="eastAsia"/>
                <w:lang w:val="en-US" w:eastAsia="zh-CN"/>
              </w:rPr>
              <w:t>协同</w:t>
            </w:r>
            <w:r>
              <w:t>办学</w:t>
            </w:r>
            <w:r>
              <w:rPr>
                <w:rFonts w:hint="eastAsia"/>
                <w:lang w:val="en-US" w:eastAsia="zh-CN"/>
              </w:rPr>
              <w:t>新</w:t>
            </w:r>
            <w:r>
              <w:t>格局</w:t>
            </w: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vertAlign w:val="baseline"/>
              </w:rPr>
            </w:pPr>
            <w:r>
              <w:t>以</w:t>
            </w:r>
            <w:r>
              <w:rPr>
                <w:rFonts w:hint="eastAsia"/>
                <w:lang w:val="en-US" w:eastAsia="zh-CN"/>
              </w:rPr>
              <w:t>学术</w:t>
            </w:r>
            <w:r>
              <w:t>委员会为抓手</w:t>
            </w:r>
            <w:r>
              <w:rPr>
                <w:rFonts w:hint="eastAsia"/>
                <w:lang w:val="en-US" w:eastAsia="zh-CN"/>
              </w:rPr>
              <w:t>提升学术治理能力新路径</w:t>
            </w: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vertAlign w:val="baseline"/>
              </w:rPr>
            </w:pPr>
            <w:r>
              <w:t>以“</w:t>
            </w:r>
            <w:r>
              <w:rPr>
                <w:rFonts w:hint="eastAsia"/>
                <w:lang w:val="en-US" w:eastAsia="zh-CN"/>
              </w:rPr>
              <w:t>代表大会</w:t>
            </w:r>
            <w:r>
              <w:t>”为纽带完善民主管理</w:t>
            </w:r>
            <w:r>
              <w:rPr>
                <w:rFonts w:hint="eastAsia"/>
                <w:lang w:val="en-US" w:eastAsia="zh-CN"/>
              </w:rPr>
              <w:t>新</w:t>
            </w:r>
            <w:r>
              <w:t>机制</w:t>
            </w: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vertAlign w:val="baseline"/>
              </w:rPr>
            </w:pPr>
            <w:r>
              <w:t>以“放管服”为推力深化</w:t>
            </w:r>
            <w:r>
              <w:rPr>
                <w:rFonts w:hint="eastAsia"/>
                <w:lang w:val="en-US" w:eastAsia="zh-CN"/>
              </w:rPr>
              <w:t>校</w:t>
            </w:r>
            <w:r>
              <w:t>院两级治理</w:t>
            </w:r>
            <w:r>
              <w:rPr>
                <w:rFonts w:hint="default"/>
              </w:rPr>
              <w:t>新架构</w:t>
            </w: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ascii="宋体" w:hAnsi="宋体" w:eastAsia="宋体" w:cs="宋体"/>
                <w:strike w:val="0"/>
                <w:dstrike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strike w:val="0"/>
                <w:dstrike w:val="0"/>
                <w:kern w:val="0"/>
                <w:sz w:val="21"/>
                <w:szCs w:val="21"/>
                <w:lang w:val="en-US" w:eastAsia="zh-CN" w:bidi="ar"/>
              </w:rPr>
              <w:t>10提升国际化水平</w:t>
            </w:r>
          </w:p>
        </w:tc>
        <w:tc>
          <w:tcPr>
            <w:tcW w:w="1224" w:type="dxa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校企合作培养国（境）外留学生招生</w:t>
            </w: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姚庆文</w:t>
            </w:r>
          </w:p>
        </w:tc>
        <w:tc>
          <w:tcPr>
            <w:tcW w:w="118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海外教育学院</w:t>
            </w: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招生数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招生数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招生数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招生数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招生数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Merge w:val="continue"/>
            <w:vAlign w:val="top"/>
          </w:tcPr>
          <w:p/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Merge w:val="restart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招生工作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完成率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“高职社招”完成率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restart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招生人数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统招录取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人数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报到率</w:t>
            </w: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Merge w:val="restart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宣传工作</w:t>
            </w:r>
          </w:p>
        </w:tc>
        <w:tc>
          <w:tcPr>
            <w:tcW w:w="122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江苏省教育厅宣传统计积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Merge w:val="restart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团学工作</w:t>
            </w: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" w:hRule="atLeast"/>
        </w:trPr>
        <w:tc>
          <w:tcPr>
            <w:tcW w:w="1288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后勤工作</w:t>
            </w: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财务工作</w:t>
            </w:r>
          </w:p>
        </w:tc>
        <w:tc>
          <w:tcPr>
            <w:tcW w:w="1224" w:type="dxa"/>
            <w:vMerge w:val="restart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专项经费执行率</w:t>
            </w:r>
          </w:p>
        </w:tc>
        <w:tc>
          <w:tcPr>
            <w:tcW w:w="1352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上年度结转专项经费</w:t>
            </w:r>
          </w:p>
        </w:tc>
        <w:tc>
          <w:tcPr>
            <w:tcW w:w="9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吴丽云</w:t>
            </w:r>
          </w:p>
        </w:tc>
        <w:tc>
          <w:tcPr>
            <w:tcW w:w="118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财务处</w:t>
            </w:r>
          </w:p>
        </w:tc>
        <w:tc>
          <w:tcPr>
            <w:tcW w:w="111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职能部门、二级学院（部）</w:t>
            </w:r>
          </w:p>
        </w:tc>
        <w:tc>
          <w:tcPr>
            <w:tcW w:w="1832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执行率100%</w:t>
            </w:r>
          </w:p>
        </w:tc>
        <w:tc>
          <w:tcPr>
            <w:tcW w:w="1860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执行率100%</w:t>
            </w:r>
          </w:p>
        </w:tc>
        <w:tc>
          <w:tcPr>
            <w:tcW w:w="1905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执行率100%</w:t>
            </w:r>
          </w:p>
        </w:tc>
        <w:tc>
          <w:tcPr>
            <w:tcW w:w="795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执行率100%</w:t>
            </w:r>
          </w:p>
        </w:tc>
        <w:tc>
          <w:tcPr>
            <w:tcW w:w="65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执行率100%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continue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当年度下达专项经费</w:t>
            </w:r>
          </w:p>
        </w:tc>
        <w:tc>
          <w:tcPr>
            <w:tcW w:w="95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吴丽云</w:t>
            </w:r>
          </w:p>
        </w:tc>
        <w:tc>
          <w:tcPr>
            <w:tcW w:w="1186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财务处</w:t>
            </w:r>
          </w:p>
        </w:tc>
        <w:tc>
          <w:tcPr>
            <w:tcW w:w="1118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职能部门、二级学院（部）</w:t>
            </w:r>
          </w:p>
        </w:tc>
        <w:tc>
          <w:tcPr>
            <w:tcW w:w="1832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执行率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860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执行率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905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执行率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95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执行率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65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执行率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Merge w:val="restart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科研工作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社科类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纵向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省级及以上人文社科类纵向项目立项</w:t>
            </w:r>
          </w:p>
        </w:tc>
        <w:tc>
          <w:tcPr>
            <w:tcW w:w="95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蒋新萍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人文社科处</w:t>
            </w:r>
          </w:p>
        </w:tc>
        <w:tc>
          <w:tcPr>
            <w:tcW w:w="111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职能部门、二级学院（部）</w:t>
            </w: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厅级人文社科类纵向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项目立项</w:t>
            </w:r>
          </w:p>
        </w:tc>
        <w:tc>
          <w:tcPr>
            <w:tcW w:w="95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蒋新萍</w:t>
            </w:r>
          </w:p>
        </w:tc>
        <w:tc>
          <w:tcPr>
            <w:tcW w:w="1186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人文社科处</w:t>
            </w:r>
          </w:p>
        </w:tc>
        <w:tc>
          <w:tcPr>
            <w:tcW w:w="111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职能部门、二级学院（部）</w:t>
            </w: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厅级及以上人文社科或教育研究成果奖</w:t>
            </w:r>
          </w:p>
        </w:tc>
        <w:tc>
          <w:tcPr>
            <w:tcW w:w="1352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蒋新萍</w:t>
            </w:r>
          </w:p>
        </w:tc>
        <w:tc>
          <w:tcPr>
            <w:tcW w:w="118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人文社科处</w:t>
            </w:r>
          </w:p>
        </w:tc>
        <w:tc>
          <w:tcPr>
            <w:tcW w:w="1118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职能部门、二级学院（部）</w:t>
            </w: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widowControl/>
              <w:spacing w:line="24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中文核心期刊及以上论文</w:t>
            </w:r>
          </w:p>
        </w:tc>
        <w:tc>
          <w:tcPr>
            <w:tcW w:w="135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蒋新萍</w:t>
            </w:r>
          </w:p>
        </w:tc>
        <w:tc>
          <w:tcPr>
            <w:tcW w:w="1186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科技处、人文社科处</w:t>
            </w:r>
          </w:p>
        </w:tc>
        <w:tc>
          <w:tcPr>
            <w:tcW w:w="111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职能部门、二级学院（部）</w:t>
            </w: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就业工作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就业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初次就业率</w:t>
            </w:r>
          </w:p>
        </w:tc>
        <w:tc>
          <w:tcPr>
            <w:tcW w:w="95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年终就业率</w:t>
            </w:r>
          </w:p>
        </w:tc>
        <w:tc>
          <w:tcPr>
            <w:tcW w:w="95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专业相关度比上年提升</w:t>
            </w:r>
          </w:p>
        </w:tc>
        <w:tc>
          <w:tcPr>
            <w:tcW w:w="95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离职率比上年降低</w:t>
            </w:r>
          </w:p>
        </w:tc>
        <w:tc>
          <w:tcPr>
            <w:tcW w:w="95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入选省级高质量就业典型案例</w:t>
            </w:r>
          </w:p>
        </w:tc>
        <w:tc>
          <w:tcPr>
            <w:tcW w:w="95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" w:hRule="atLeast"/>
        </w:trPr>
        <w:tc>
          <w:tcPr>
            <w:tcW w:w="128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8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上述未涉及的学校重点工作可自行补充</w:t>
            </w: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8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2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shd w:val="clear" w:color="auto" w:fill="FEF2CC" w:themeFill="accent4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  <w:tc>
          <w:tcPr>
            <w:tcW w:w="657" w:type="dxa"/>
            <w:shd w:val="clear" w:color="auto" w:fill="DEEBF6" w:themeFill="accent1" w:themeFillTint="32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562D6"/>
    <w:rsid w:val="008D59EF"/>
    <w:rsid w:val="01A52390"/>
    <w:rsid w:val="04306FDF"/>
    <w:rsid w:val="04B43B7A"/>
    <w:rsid w:val="0B433B8B"/>
    <w:rsid w:val="0CC00E61"/>
    <w:rsid w:val="0D1B5045"/>
    <w:rsid w:val="0D642FC4"/>
    <w:rsid w:val="0D7F3C84"/>
    <w:rsid w:val="134562D6"/>
    <w:rsid w:val="1AD9467D"/>
    <w:rsid w:val="20F76764"/>
    <w:rsid w:val="252C1703"/>
    <w:rsid w:val="270D4227"/>
    <w:rsid w:val="278C5135"/>
    <w:rsid w:val="2818301B"/>
    <w:rsid w:val="2AB86E56"/>
    <w:rsid w:val="2AE07ED0"/>
    <w:rsid w:val="314C4DBD"/>
    <w:rsid w:val="32AD3101"/>
    <w:rsid w:val="375345D2"/>
    <w:rsid w:val="37EB2EA3"/>
    <w:rsid w:val="3F595B2B"/>
    <w:rsid w:val="42982E16"/>
    <w:rsid w:val="467B5F4D"/>
    <w:rsid w:val="478925D9"/>
    <w:rsid w:val="4C4E630B"/>
    <w:rsid w:val="516923D2"/>
    <w:rsid w:val="579903E8"/>
    <w:rsid w:val="58E205AB"/>
    <w:rsid w:val="5DDF4275"/>
    <w:rsid w:val="5E102B6F"/>
    <w:rsid w:val="65E60924"/>
    <w:rsid w:val="67A06AA3"/>
    <w:rsid w:val="697F529A"/>
    <w:rsid w:val="6BD01784"/>
    <w:rsid w:val="71A820D0"/>
    <w:rsid w:val="748C2B46"/>
    <w:rsid w:val="7627145F"/>
    <w:rsid w:val="78475D0A"/>
    <w:rsid w:val="7D18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2021-03-04T02:08:00Z</dcterms:created>
  <dc:creator>idchh</dc:creator>
  <cp:lastModifiedBy>idchh</cp:lastModifiedBy>
  <dcterms:modified xsi:type="dcterms:W3CDTF">2021-03-04T08:27:26Z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