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42"/>
        <w:ind w:right="339"/>
        <w:jc w:val="center"/>
        <w:rPr>
          <w:rFonts w:hint="eastAsia" w:ascii="方正小标宋简体" w:hAnsi="方正小标宋简体" w:eastAsia="方正小标宋简体" w:cs="方正小标宋简体"/>
          <w:b w:val="0"/>
          <w:bCs w:val="0"/>
          <w:spacing w:val="0"/>
          <w:w w:val="100"/>
          <w:lang w:val="en-US" w:eastAsia="zh-CN"/>
        </w:rPr>
      </w:pPr>
      <w:r>
        <w:rPr>
          <w:rFonts w:hint="eastAsia" w:ascii="方正小标宋简体" w:hAnsi="方正小标宋简体" w:eastAsia="方正小标宋简体" w:cs="方正小标宋简体"/>
          <w:b w:val="0"/>
          <w:bCs w:val="0"/>
          <w:spacing w:val="0"/>
          <w:w w:val="100"/>
          <w:lang w:val="en-US" w:eastAsia="zh-CN"/>
        </w:rPr>
        <w:t>常州工业职业技术学院</w:t>
      </w:r>
    </w:p>
    <w:p>
      <w:pPr>
        <w:pStyle w:val="2"/>
        <w:spacing w:before="42"/>
        <w:ind w:right="339"/>
        <w:jc w:val="center"/>
        <w:rPr>
          <w:rFonts w:hint="eastAsia" w:ascii="方正小标宋简体" w:hAnsi="方正小标宋简体" w:eastAsia="方正小标宋简体" w:cs="方正小标宋简体"/>
        </w:rPr>
      </w:pPr>
      <w:r>
        <w:rPr>
          <w:rFonts w:hint="eastAsia" w:ascii="方正小标宋简体" w:hAnsi="方正小标宋简体" w:eastAsia="方正小标宋简体" w:cs="方正小标宋简体"/>
          <w:b w:val="0"/>
          <w:bCs w:val="0"/>
          <w:spacing w:val="0"/>
          <w:w w:val="95"/>
        </w:rPr>
        <w:t>2020年高等教育事业基层统计报表填报任务分解表</w:t>
      </w:r>
    </w:p>
    <w:p>
      <w:pPr>
        <w:spacing w:before="2" w:line="80" w:lineRule="exact"/>
        <w:rPr>
          <w:sz w:val="8"/>
          <w:szCs w:val="8"/>
        </w:rPr>
      </w:pPr>
    </w:p>
    <w:tbl>
      <w:tblPr>
        <w:tblW w:w="144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tblLayout w:type="autofit"/>
        <w:tblCellMar>
          <w:top w:w="0" w:type="dxa"/>
          <w:left w:w="0" w:type="dxa"/>
          <w:bottom w:w="0" w:type="dxa"/>
          <w:right w:w="0" w:type="dxa"/>
        </w:tblCellMar>
      </w:tblPr>
      <w:tblGrid>
        <w:gridCol w:w="2150"/>
        <w:gridCol w:w="3737"/>
        <w:gridCol w:w="857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tblCellMar>
            <w:top w:w="0" w:type="dxa"/>
            <w:left w:w="0" w:type="dxa"/>
            <w:bottom w:w="0" w:type="dxa"/>
            <w:right w:w="0" w:type="dxa"/>
          </w:tblCellMar>
        </w:tblPrEx>
        <w:trPr>
          <w:trHeight w:val="420" w:hRule="atLeast"/>
          <w:jc w:val="center"/>
        </w:trPr>
        <w:tc>
          <w:tcPr>
            <w:tcW w:w="2150" w:type="dxa"/>
            <w:tcBorders>
              <w:tl2br w:val="nil"/>
              <w:tr2bl w:val="nil"/>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填报部门</w:t>
            </w:r>
          </w:p>
        </w:tc>
        <w:tc>
          <w:tcPr>
            <w:tcW w:w="3737" w:type="dxa"/>
            <w:tcBorders>
              <w:tl2br w:val="nil"/>
              <w:tr2bl w:val="nil"/>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填报内容</w:t>
            </w:r>
          </w:p>
        </w:tc>
        <w:tc>
          <w:tcPr>
            <w:tcW w:w="8573" w:type="dxa"/>
            <w:tcBorders>
              <w:tl2br w:val="nil"/>
              <w:tr2bl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jc w:val="center"/>
        </w:trPr>
        <w:tc>
          <w:tcPr>
            <w:tcW w:w="2150" w:type="dxa"/>
            <w:vMerge w:val="restart"/>
            <w:tcBorders>
              <w:tl2br w:val="nil"/>
              <w:tr2bl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高水平学院创建办公室（质量监督与控制处合署）</w:t>
            </w:r>
          </w:p>
        </w:tc>
        <w:tc>
          <w:tcPr>
            <w:tcW w:w="0" w:type="auto"/>
            <w:tcBorders>
              <w:tl2br w:val="nil"/>
              <w:tr2bl w:val="nil"/>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高基111学校基本情况</w:t>
            </w:r>
          </w:p>
        </w:tc>
        <w:tc>
          <w:tcPr>
            <w:tcW w:w="8573" w:type="dxa"/>
            <w:tcBorders>
              <w:tl2br w:val="nil"/>
              <w:tr2bl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核查说明，年度增减10%以上需要上报情况说明。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0" w:hRule="atLeast"/>
          <w:jc w:val="center"/>
        </w:trPr>
        <w:tc>
          <w:tcPr>
            <w:tcW w:w="2150" w:type="dxa"/>
            <w:vMerge w:val="continue"/>
            <w:tcBorders>
              <w:tl2br w:val="nil"/>
              <w:tr2bl w:val="nil"/>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0" w:type="auto"/>
            <w:tcBorders>
              <w:tl2br w:val="nil"/>
              <w:tr2bl w:val="nil"/>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高基112学校基本情况</w:t>
            </w:r>
          </w:p>
        </w:tc>
        <w:tc>
          <w:tcPr>
            <w:tcW w:w="8573" w:type="dxa"/>
            <w:tcBorders>
              <w:tl2br w:val="nil"/>
              <w:tr2bl w:val="nil"/>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0" w:hRule="atLeast"/>
          <w:jc w:val="center"/>
        </w:trPr>
        <w:tc>
          <w:tcPr>
            <w:tcW w:w="2150" w:type="dxa"/>
            <w:tcBorders>
              <w:tl2br w:val="nil"/>
              <w:tr2bl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校企合作处（就业指导中心、校友工作办公室挂靠）</w:t>
            </w:r>
          </w:p>
        </w:tc>
        <w:tc>
          <w:tcPr>
            <w:tcW w:w="0" w:type="auto"/>
            <w:tcBorders>
              <w:tl2br w:val="nil"/>
              <w:tr2bl w:val="nil"/>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高基112学校基本情况</w:t>
            </w:r>
          </w:p>
        </w:tc>
        <w:tc>
          <w:tcPr>
            <w:tcW w:w="8573" w:type="dxa"/>
            <w:tcBorders>
              <w:tl2br w:val="nil"/>
              <w:tr2bl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编号29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0" w:hRule="atLeast"/>
          <w:jc w:val="center"/>
        </w:trPr>
        <w:tc>
          <w:tcPr>
            <w:tcW w:w="2150" w:type="dxa"/>
            <w:tcBorders>
              <w:tl2br w:val="nil"/>
              <w:tr2bl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基础教学部、体育工作部（合署）</w:t>
            </w:r>
          </w:p>
        </w:tc>
        <w:tc>
          <w:tcPr>
            <w:tcW w:w="0" w:type="auto"/>
            <w:tcBorders>
              <w:tl2br w:val="nil"/>
              <w:tr2bl w:val="nil"/>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高基112学校基本情况</w:t>
            </w:r>
          </w:p>
        </w:tc>
        <w:tc>
          <w:tcPr>
            <w:tcW w:w="8573" w:type="dxa"/>
            <w:tcBorders>
              <w:tl2br w:val="nil"/>
              <w:tr2bl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编号32-36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tblCellMar>
            <w:top w:w="0" w:type="dxa"/>
            <w:left w:w="0" w:type="dxa"/>
            <w:bottom w:w="0" w:type="dxa"/>
            <w:right w:w="0" w:type="dxa"/>
          </w:tblCellMar>
        </w:tblPrEx>
        <w:trPr>
          <w:trHeight w:val="940" w:hRule="atLeast"/>
          <w:jc w:val="center"/>
        </w:trPr>
        <w:tc>
          <w:tcPr>
            <w:tcW w:w="2150" w:type="dxa"/>
            <w:vMerge w:val="restart"/>
            <w:tcBorders>
              <w:tl2br w:val="nil"/>
              <w:tr2bl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教务处（教师发展中心合署）</w:t>
            </w:r>
          </w:p>
        </w:tc>
        <w:tc>
          <w:tcPr>
            <w:tcW w:w="0" w:type="auto"/>
            <w:tcBorders>
              <w:tl2br w:val="nil"/>
              <w:tr2bl w:val="nil"/>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高基112学校基本情况</w:t>
            </w:r>
          </w:p>
        </w:tc>
        <w:tc>
          <w:tcPr>
            <w:tcW w:w="8573" w:type="dxa"/>
            <w:tcBorders>
              <w:tl2br w:val="nil"/>
              <w:tr2bl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编号44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0" w:hRule="atLeast"/>
          <w:jc w:val="center"/>
        </w:trPr>
        <w:tc>
          <w:tcPr>
            <w:tcW w:w="2150" w:type="dxa"/>
            <w:vMerge w:val="continue"/>
            <w:tcBorders>
              <w:tl2br w:val="nil"/>
              <w:tr2bl w:val="nil"/>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0" w:type="auto"/>
            <w:tcBorders>
              <w:tl2br w:val="nil"/>
              <w:tr2bl w:val="nil"/>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高基112学校基本情况</w:t>
            </w:r>
          </w:p>
        </w:tc>
        <w:tc>
          <w:tcPr>
            <w:tcW w:w="8573" w:type="dxa"/>
            <w:tcBorders>
              <w:tl2br w:val="nil"/>
              <w:tr2bl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bookmarkStart w:id="0" w:name="_GoBack"/>
            <w:bookmarkEnd w:id="0"/>
            <w:r>
              <w:rPr>
                <w:rFonts w:hint="eastAsia" w:ascii="宋体" w:hAnsi="宋体" w:eastAsia="宋体" w:cs="宋体"/>
                <w:i w:val="0"/>
                <w:color w:val="000000"/>
                <w:kern w:val="0"/>
                <w:sz w:val="22"/>
                <w:szCs w:val="22"/>
                <w:u w:val="none"/>
                <w:bdr w:val="none" w:color="auto" w:sz="0" w:space="0"/>
                <w:lang w:val="en-US" w:eastAsia="zh-CN" w:bidi="ar"/>
              </w:rPr>
              <w:t>编号8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40" w:hRule="atLeast"/>
          <w:jc w:val="center"/>
        </w:trPr>
        <w:tc>
          <w:tcPr>
            <w:tcW w:w="2150" w:type="dxa"/>
            <w:vMerge w:val="continue"/>
            <w:tcBorders>
              <w:tl2br w:val="nil"/>
              <w:tr2bl w:val="nil"/>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0" w:type="auto"/>
            <w:tcBorders>
              <w:tl2br w:val="nil"/>
              <w:tr2bl w:val="nil"/>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高基311普通专科分专业学生数</w:t>
            </w:r>
          </w:p>
        </w:tc>
        <w:tc>
          <w:tcPr>
            <w:tcW w:w="8573" w:type="dxa"/>
            <w:tcBorders>
              <w:tl2br w:val="nil"/>
              <w:tr2bl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专业代码参照《普通高等学校高等职业教育专科（专业）目录（统计用）》；2.招生数以实际报到的学生数填报；3.实际报到、保留学籍但未当年实际就读的学生数，计入当年招生数，但不计入当年在校生数。如下一年复学的，应计入在校生数，但不应再计入第二年招生数。4.新生应征入伍的学生不计入当年招生数和在校生数，待复员就读后再计入当年在校生数。学生变动表中增加的类型为：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2150" w:type="dxa"/>
            <w:vMerge w:val="continue"/>
            <w:tcBorders>
              <w:tl2br w:val="nil"/>
              <w:tr2bl w:val="nil"/>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0" w:type="auto"/>
            <w:tcBorders>
              <w:tl2br w:val="nil"/>
              <w:tr2bl w:val="nil"/>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高基321在校生分年龄情况</w:t>
            </w:r>
          </w:p>
        </w:tc>
        <w:tc>
          <w:tcPr>
            <w:tcW w:w="8573" w:type="dxa"/>
            <w:tcBorders>
              <w:tl2br w:val="nil"/>
              <w:tr2bl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不要有异常数据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tblCellMar>
            <w:top w:w="0" w:type="dxa"/>
            <w:left w:w="0" w:type="dxa"/>
            <w:bottom w:w="0" w:type="dxa"/>
            <w:right w:w="0" w:type="dxa"/>
          </w:tblCellMar>
        </w:tblPrEx>
        <w:trPr>
          <w:trHeight w:val="800" w:hRule="atLeast"/>
          <w:jc w:val="center"/>
        </w:trPr>
        <w:tc>
          <w:tcPr>
            <w:tcW w:w="2150" w:type="dxa"/>
            <w:vMerge w:val="continue"/>
            <w:tcBorders>
              <w:tl2br w:val="nil"/>
              <w:tr2bl w:val="nil"/>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0" w:type="auto"/>
            <w:tcBorders>
              <w:tl2br w:val="nil"/>
              <w:tr2bl w:val="nil"/>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高基322在校生来源情况</w:t>
            </w:r>
          </w:p>
        </w:tc>
        <w:tc>
          <w:tcPr>
            <w:tcW w:w="8573" w:type="dxa"/>
            <w:tcBorders>
              <w:tl2br w:val="nil"/>
              <w:tr2bl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与311表对应（如：322招生数合计=311表招生数小计，322在校生数合计=311表在校生数合计）；311表招生数来源为实际报到数，与943中招生数来源保持一致。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 w:hRule="atLeast"/>
          <w:jc w:val="center"/>
        </w:trPr>
        <w:tc>
          <w:tcPr>
            <w:tcW w:w="2150" w:type="dxa"/>
            <w:vMerge w:val="continue"/>
            <w:tcBorders>
              <w:tl2br w:val="nil"/>
              <w:tr2bl w:val="nil"/>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0" w:type="auto"/>
            <w:tcBorders>
              <w:tl2br w:val="nil"/>
              <w:tr2bl w:val="nil"/>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高基331学生变动情况</w:t>
            </w:r>
          </w:p>
        </w:tc>
        <w:tc>
          <w:tcPr>
            <w:tcW w:w="8573" w:type="dxa"/>
            <w:tcBorders>
              <w:tl2br w:val="nil"/>
              <w:tr2bl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注意与上年度学生数之间的逻辑关系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tblCellMar>
            <w:top w:w="0" w:type="dxa"/>
            <w:left w:w="0" w:type="dxa"/>
            <w:bottom w:w="0" w:type="dxa"/>
            <w:right w:w="0" w:type="dxa"/>
          </w:tblCellMar>
        </w:tblPrEx>
        <w:trPr>
          <w:trHeight w:val="420" w:hRule="atLeast"/>
          <w:jc w:val="center"/>
        </w:trPr>
        <w:tc>
          <w:tcPr>
            <w:tcW w:w="2150" w:type="dxa"/>
            <w:vMerge w:val="continue"/>
            <w:tcBorders>
              <w:tl2br w:val="nil"/>
              <w:tr2bl w:val="nil"/>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0" w:type="auto"/>
            <w:tcBorders>
              <w:tl2br w:val="nil"/>
              <w:tr2bl w:val="nil"/>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高基332学生休退学的主要原因</w:t>
            </w:r>
          </w:p>
        </w:tc>
        <w:tc>
          <w:tcPr>
            <w:tcW w:w="8573" w:type="dxa"/>
            <w:tcBorders>
              <w:tl2br w:val="nil"/>
              <w:tr2bl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不应有因经济困难退学的数据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tblCellMar>
            <w:top w:w="0" w:type="dxa"/>
            <w:left w:w="0" w:type="dxa"/>
            <w:bottom w:w="0" w:type="dxa"/>
            <w:right w:w="0" w:type="dxa"/>
          </w:tblCellMar>
        </w:tblPrEx>
        <w:trPr>
          <w:trHeight w:val="420" w:hRule="atLeast"/>
          <w:jc w:val="center"/>
        </w:trPr>
        <w:tc>
          <w:tcPr>
            <w:tcW w:w="2150" w:type="dxa"/>
            <w:vMerge w:val="continue"/>
            <w:tcBorders>
              <w:tl2br w:val="nil"/>
              <w:tr2bl w:val="nil"/>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0" w:type="auto"/>
            <w:tcBorders>
              <w:tl2br w:val="nil"/>
              <w:tr2bl w:val="nil"/>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高基341在校生中其他情况</w:t>
            </w:r>
          </w:p>
        </w:tc>
        <w:tc>
          <w:tcPr>
            <w:tcW w:w="8573" w:type="dxa"/>
            <w:tcBorders>
              <w:tl2br w:val="nil"/>
              <w:tr2bl w:val="nil"/>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 w:hRule="atLeast"/>
          <w:jc w:val="center"/>
        </w:trPr>
        <w:tc>
          <w:tcPr>
            <w:tcW w:w="2150" w:type="dxa"/>
            <w:vMerge w:val="continue"/>
            <w:tcBorders>
              <w:tl2br w:val="nil"/>
              <w:tr2bl w:val="nil"/>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737" w:type="dxa"/>
            <w:tcBorders>
              <w:tl2br w:val="nil"/>
              <w:tr2bl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高基521资产情况</w:t>
            </w:r>
          </w:p>
        </w:tc>
        <w:tc>
          <w:tcPr>
            <w:tcW w:w="8573" w:type="dxa"/>
            <w:tcBorders>
              <w:tl2br w:val="nil"/>
              <w:tr2bl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第9、10列教室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 w:hRule="atLeast"/>
          <w:jc w:val="center"/>
        </w:trPr>
        <w:tc>
          <w:tcPr>
            <w:tcW w:w="2150" w:type="dxa"/>
            <w:vMerge w:val="continue"/>
            <w:tcBorders>
              <w:tl2br w:val="nil"/>
              <w:tr2bl w:val="nil"/>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737" w:type="dxa"/>
            <w:tcBorders>
              <w:tl2br w:val="nil"/>
              <w:tr2bl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高基522信息化建设情况</w:t>
            </w:r>
          </w:p>
        </w:tc>
        <w:tc>
          <w:tcPr>
            <w:tcW w:w="8573" w:type="dxa"/>
            <w:tcBorders>
              <w:tl2br w:val="nil"/>
              <w:tr2bl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第3列,上网课程数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20" w:hRule="atLeast"/>
          <w:jc w:val="center"/>
        </w:trPr>
        <w:tc>
          <w:tcPr>
            <w:tcW w:w="2150" w:type="dxa"/>
            <w:vMerge w:val="continue"/>
            <w:tcBorders>
              <w:tl2br w:val="nil"/>
              <w:tr2bl w:val="nil"/>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0" w:type="auto"/>
            <w:tcBorders>
              <w:tl2br w:val="nil"/>
              <w:tr2bl w:val="nil"/>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高基441专任教师接受培训情况</w:t>
            </w:r>
          </w:p>
        </w:tc>
        <w:tc>
          <w:tcPr>
            <w:tcW w:w="8573" w:type="dxa"/>
            <w:tcBorders>
              <w:tl2br w:val="nil"/>
              <w:tr2bl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有远程培训、及培训学时的统计。高基441表中专任教师总数与数据采集一致。接受培训情况分类更细更具体，要求统计到学时（一天一般为8学时，1学时一般为45分钟）。2.牵头协调组织部、学工处、教务处、国际处、马院等部门，如专任教师参加这些部门组织的业务培训也需统计进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20" w:hRule="atLeast"/>
          <w:jc w:val="center"/>
        </w:trPr>
        <w:tc>
          <w:tcPr>
            <w:tcW w:w="2150" w:type="dxa"/>
            <w:vMerge w:val="restart"/>
            <w:tcBorders>
              <w:tl2br w:val="nil"/>
              <w:tr2bl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继教教育学院</w:t>
            </w:r>
          </w:p>
        </w:tc>
        <w:tc>
          <w:tcPr>
            <w:tcW w:w="0" w:type="auto"/>
            <w:tcBorders>
              <w:tl2br w:val="nil"/>
              <w:tr2bl w:val="nil"/>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高基313成人专科分专业学生数</w:t>
            </w:r>
          </w:p>
        </w:tc>
        <w:tc>
          <w:tcPr>
            <w:tcW w:w="8573" w:type="dxa"/>
            <w:tcBorders>
              <w:tl2br w:val="nil"/>
              <w:tr2bl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春季招生入学，若学制2.5年，报表中填2年，二年级在校学生计入预计毕业生数；秋季招生入学的，若学制2.5年，报表中填3年，三年级在校学生计入预计毕业生数。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tblCellMar>
            <w:top w:w="0" w:type="dxa"/>
            <w:left w:w="0" w:type="dxa"/>
            <w:bottom w:w="0" w:type="dxa"/>
            <w:right w:w="0" w:type="dxa"/>
          </w:tblCellMar>
        </w:tblPrEx>
        <w:trPr>
          <w:trHeight w:val="580" w:hRule="atLeast"/>
          <w:jc w:val="center"/>
        </w:trPr>
        <w:tc>
          <w:tcPr>
            <w:tcW w:w="2150" w:type="dxa"/>
            <w:vMerge w:val="continue"/>
            <w:tcBorders>
              <w:tl2br w:val="nil"/>
              <w:tr2bl w:val="nil"/>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0" w:type="auto"/>
            <w:tcBorders>
              <w:tl2br w:val="nil"/>
              <w:tr2bl w:val="nil"/>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高基321在校生分年龄情况</w:t>
            </w:r>
          </w:p>
        </w:tc>
        <w:tc>
          <w:tcPr>
            <w:tcW w:w="8573" w:type="dxa"/>
            <w:tcBorders>
              <w:tl2br w:val="nil"/>
              <w:tr2bl w:val="nil"/>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80" w:hRule="atLeast"/>
          <w:jc w:val="center"/>
        </w:trPr>
        <w:tc>
          <w:tcPr>
            <w:tcW w:w="2150" w:type="dxa"/>
            <w:vMerge w:val="continue"/>
            <w:tcBorders>
              <w:tl2br w:val="nil"/>
              <w:tr2bl w:val="nil"/>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0" w:type="auto"/>
            <w:tcBorders>
              <w:tl2br w:val="nil"/>
              <w:tr2bl w:val="nil"/>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高基322在校生来源情况</w:t>
            </w:r>
          </w:p>
        </w:tc>
        <w:tc>
          <w:tcPr>
            <w:tcW w:w="8573" w:type="dxa"/>
            <w:tcBorders>
              <w:tl2br w:val="nil"/>
              <w:tr2bl w:val="nil"/>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0" w:hRule="atLeast"/>
          <w:jc w:val="center"/>
        </w:trPr>
        <w:tc>
          <w:tcPr>
            <w:tcW w:w="2150" w:type="dxa"/>
            <w:vMerge w:val="continue"/>
            <w:tcBorders>
              <w:tl2br w:val="nil"/>
              <w:tr2bl w:val="nil"/>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0" w:type="auto"/>
            <w:tcBorders>
              <w:tl2br w:val="nil"/>
              <w:tr2bl w:val="nil"/>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高基331学生变动情况</w:t>
            </w:r>
          </w:p>
        </w:tc>
        <w:tc>
          <w:tcPr>
            <w:tcW w:w="8573" w:type="dxa"/>
            <w:tcBorders>
              <w:tl2br w:val="nil"/>
              <w:tr2bl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注意与上年度学生数之间的逻辑关系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0" w:hRule="atLeast"/>
          <w:jc w:val="center"/>
        </w:trPr>
        <w:tc>
          <w:tcPr>
            <w:tcW w:w="2150" w:type="dxa"/>
            <w:vMerge w:val="continue"/>
            <w:tcBorders>
              <w:tl2br w:val="nil"/>
              <w:tr2bl w:val="nil"/>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0" w:type="auto"/>
            <w:tcBorders>
              <w:tl2br w:val="nil"/>
              <w:tr2bl w:val="nil"/>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高基332学生休退学的主要原因</w:t>
            </w:r>
          </w:p>
        </w:tc>
        <w:tc>
          <w:tcPr>
            <w:tcW w:w="8573" w:type="dxa"/>
            <w:tcBorders>
              <w:tl2br w:val="nil"/>
              <w:tr2bl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不应有因经济困难退学的数据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tblCellMar>
            <w:top w:w="0" w:type="dxa"/>
            <w:left w:w="0" w:type="dxa"/>
            <w:bottom w:w="0" w:type="dxa"/>
            <w:right w:w="0" w:type="dxa"/>
          </w:tblCellMar>
        </w:tblPrEx>
        <w:trPr>
          <w:trHeight w:val="580" w:hRule="atLeast"/>
          <w:jc w:val="center"/>
        </w:trPr>
        <w:tc>
          <w:tcPr>
            <w:tcW w:w="2150" w:type="dxa"/>
            <w:vMerge w:val="continue"/>
            <w:tcBorders>
              <w:tl2br w:val="nil"/>
              <w:tr2bl w:val="nil"/>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0" w:type="auto"/>
            <w:tcBorders>
              <w:tl2br w:val="nil"/>
              <w:tr2bl w:val="nil"/>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高基341在校生中其他情况</w:t>
            </w:r>
          </w:p>
        </w:tc>
        <w:tc>
          <w:tcPr>
            <w:tcW w:w="8573" w:type="dxa"/>
            <w:tcBorders>
              <w:tl2br w:val="nil"/>
              <w:tr2bl w:val="nil"/>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tblCellMar>
            <w:top w:w="0" w:type="dxa"/>
            <w:left w:w="0" w:type="dxa"/>
            <w:bottom w:w="0" w:type="dxa"/>
            <w:right w:w="0" w:type="dxa"/>
          </w:tblCellMar>
        </w:tblPrEx>
        <w:trPr>
          <w:trHeight w:val="1240" w:hRule="atLeast"/>
          <w:jc w:val="center"/>
        </w:trPr>
        <w:tc>
          <w:tcPr>
            <w:tcW w:w="2150" w:type="dxa"/>
            <w:vMerge w:val="continue"/>
            <w:tcBorders>
              <w:tl2br w:val="nil"/>
              <w:tr2bl w:val="nil"/>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0" w:type="auto"/>
            <w:tcBorders>
              <w:tl2br w:val="nil"/>
              <w:tr2bl w:val="nil"/>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高基361其他学生情况</w:t>
            </w:r>
          </w:p>
        </w:tc>
        <w:tc>
          <w:tcPr>
            <w:tcW w:w="8573" w:type="dxa"/>
            <w:tcBorders>
              <w:tl2br w:val="nil"/>
              <w:tr2bl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1.学生社会培训分类更细，分为集中培训、远程培训、跟岗实践三类，具体见指标解读。2.需要统计培训的学时数。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40" w:hRule="atLeast"/>
          <w:jc w:val="center"/>
        </w:trPr>
        <w:tc>
          <w:tcPr>
            <w:tcW w:w="2150" w:type="dxa"/>
            <w:tcBorders>
              <w:tl2br w:val="nil"/>
              <w:tr2bl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组织部、统战部（合署）（党校挂靠）</w:t>
            </w:r>
          </w:p>
        </w:tc>
        <w:tc>
          <w:tcPr>
            <w:tcW w:w="0" w:type="auto"/>
            <w:tcBorders>
              <w:tl2br w:val="nil"/>
              <w:tr2bl w:val="nil"/>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高基341在校生中其他情况</w:t>
            </w:r>
          </w:p>
        </w:tc>
        <w:tc>
          <w:tcPr>
            <w:tcW w:w="8573" w:type="dxa"/>
            <w:tcBorders>
              <w:tl2br w:val="nil"/>
              <w:tr2bl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第1、3列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tblCellMar>
            <w:top w:w="0" w:type="dxa"/>
            <w:left w:w="0" w:type="dxa"/>
            <w:bottom w:w="0" w:type="dxa"/>
            <w:right w:w="0" w:type="dxa"/>
          </w:tblCellMar>
        </w:tblPrEx>
        <w:trPr>
          <w:trHeight w:val="1140" w:hRule="atLeast"/>
          <w:jc w:val="center"/>
        </w:trPr>
        <w:tc>
          <w:tcPr>
            <w:tcW w:w="2150" w:type="dxa"/>
            <w:tcBorders>
              <w:tl2br w:val="nil"/>
              <w:tr2bl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团委(公共艺术教育中心挂靠)</w:t>
            </w:r>
          </w:p>
        </w:tc>
        <w:tc>
          <w:tcPr>
            <w:tcW w:w="0" w:type="auto"/>
            <w:tcBorders>
              <w:tl2br w:val="nil"/>
              <w:tr2bl w:val="nil"/>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高基341在校生中其他情况</w:t>
            </w:r>
          </w:p>
        </w:tc>
        <w:tc>
          <w:tcPr>
            <w:tcW w:w="8573" w:type="dxa"/>
            <w:tcBorders>
              <w:tl2br w:val="nil"/>
              <w:tr2bl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第2列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40" w:hRule="atLeast"/>
          <w:jc w:val="center"/>
        </w:trPr>
        <w:tc>
          <w:tcPr>
            <w:tcW w:w="2150" w:type="dxa"/>
            <w:tcBorders>
              <w:tl2br w:val="nil"/>
              <w:tr2bl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学生工作部、保卫部、人民武装部（学生工作处、保卫处合署）</w:t>
            </w:r>
          </w:p>
        </w:tc>
        <w:tc>
          <w:tcPr>
            <w:tcW w:w="0" w:type="auto"/>
            <w:tcBorders>
              <w:tl2br w:val="nil"/>
              <w:tr2bl w:val="nil"/>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高基341在校生中其他情况</w:t>
            </w:r>
          </w:p>
        </w:tc>
        <w:tc>
          <w:tcPr>
            <w:tcW w:w="8573" w:type="dxa"/>
            <w:tcBorders>
              <w:tl2br w:val="nil"/>
              <w:tr2bl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第8、9列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80" w:hRule="atLeast"/>
          <w:jc w:val="center"/>
        </w:trPr>
        <w:tc>
          <w:tcPr>
            <w:tcW w:w="2150" w:type="dxa"/>
            <w:tcBorders>
              <w:tl2br w:val="nil"/>
              <w:tr2bl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海外教育学院（国际交流合作处（港澳台事务处）合署）</w:t>
            </w:r>
          </w:p>
        </w:tc>
        <w:tc>
          <w:tcPr>
            <w:tcW w:w="0" w:type="auto"/>
            <w:tcBorders>
              <w:tl2br w:val="nil"/>
              <w:tr2bl w:val="nil"/>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高基371外国留学生情况</w:t>
            </w:r>
          </w:p>
        </w:tc>
        <w:tc>
          <w:tcPr>
            <w:tcW w:w="8573" w:type="dxa"/>
            <w:tcBorders>
              <w:tl2br w:val="nil"/>
              <w:tr2bl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指持有外国护照在我国高等学校注册并接受学历教育和非学历教育的外国公民，有学历教育和培训教育两种。一个留学生折合三个全日制本、专科生。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0" w:hRule="atLeast"/>
          <w:jc w:val="center"/>
        </w:trPr>
        <w:tc>
          <w:tcPr>
            <w:tcW w:w="2150" w:type="dxa"/>
            <w:vMerge w:val="restart"/>
            <w:tcBorders>
              <w:tl2br w:val="nil"/>
              <w:tr2bl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教师工作部（人事处合署）</w:t>
            </w:r>
          </w:p>
        </w:tc>
        <w:tc>
          <w:tcPr>
            <w:tcW w:w="0" w:type="auto"/>
            <w:tcBorders>
              <w:tl2br w:val="nil"/>
              <w:tr2bl w:val="nil"/>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高基411教职工情况</w:t>
            </w:r>
          </w:p>
        </w:tc>
        <w:tc>
          <w:tcPr>
            <w:tcW w:w="8573" w:type="dxa"/>
            <w:tcBorders>
              <w:tl2br w:val="nil"/>
              <w:tr2bl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所填师资数逻辑上与去年对应。与状态数据专任教师数、外聘教师数保持一致。注意双师型教师的填报。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0" w:hRule="atLeast"/>
          <w:jc w:val="center"/>
        </w:trPr>
        <w:tc>
          <w:tcPr>
            <w:tcW w:w="2150" w:type="dxa"/>
            <w:vMerge w:val="continue"/>
            <w:tcBorders>
              <w:tl2br w:val="nil"/>
              <w:tr2bl w:val="nil"/>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737" w:type="dxa"/>
            <w:tcBorders>
              <w:tl2br w:val="nil"/>
              <w:tr2bl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高基421专任教师、聘请校外教师岗位分类情况</w:t>
            </w:r>
          </w:p>
        </w:tc>
        <w:tc>
          <w:tcPr>
            <w:tcW w:w="8573" w:type="dxa"/>
            <w:tcBorders>
              <w:tl2br w:val="nil"/>
              <w:tr2bl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外教不填在专任教师中，填在聘外教师-外籍教师中。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atLeast"/>
          <w:jc w:val="center"/>
        </w:trPr>
        <w:tc>
          <w:tcPr>
            <w:tcW w:w="2150" w:type="dxa"/>
            <w:vMerge w:val="continue"/>
            <w:tcBorders>
              <w:tl2br w:val="nil"/>
              <w:tr2bl w:val="nil"/>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737" w:type="dxa"/>
            <w:tcBorders>
              <w:tl2br w:val="nil"/>
              <w:tr2bl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高基422专任教师、聘请校外教师学历(位）情况</w:t>
            </w:r>
          </w:p>
        </w:tc>
        <w:tc>
          <w:tcPr>
            <w:tcW w:w="8573" w:type="dxa"/>
            <w:tcBorders>
              <w:tl2br w:val="nil"/>
              <w:tr2bl w:val="nil"/>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tblCellMar>
            <w:top w:w="0" w:type="dxa"/>
            <w:left w:w="0" w:type="dxa"/>
            <w:bottom w:w="0" w:type="dxa"/>
            <w:right w:w="0" w:type="dxa"/>
          </w:tblCellMar>
        </w:tblPrEx>
        <w:trPr>
          <w:trHeight w:val="380" w:hRule="atLeast"/>
          <w:jc w:val="center"/>
        </w:trPr>
        <w:tc>
          <w:tcPr>
            <w:tcW w:w="2150" w:type="dxa"/>
            <w:vMerge w:val="continue"/>
            <w:tcBorders>
              <w:tl2br w:val="nil"/>
              <w:tr2bl w:val="nil"/>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0" w:type="auto"/>
            <w:tcBorders>
              <w:tl2br w:val="nil"/>
              <w:tr2bl w:val="nil"/>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高基423专任教师分年龄情况</w:t>
            </w:r>
          </w:p>
        </w:tc>
        <w:tc>
          <w:tcPr>
            <w:tcW w:w="8573" w:type="dxa"/>
            <w:tcBorders>
              <w:tl2br w:val="nil"/>
              <w:tr2bl w:val="nil"/>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0" w:hRule="atLeast"/>
          <w:jc w:val="center"/>
        </w:trPr>
        <w:tc>
          <w:tcPr>
            <w:tcW w:w="2150" w:type="dxa"/>
            <w:vMerge w:val="continue"/>
            <w:tcBorders>
              <w:tl2br w:val="nil"/>
              <w:tr2bl w:val="nil"/>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0" w:type="auto"/>
            <w:tcBorders>
              <w:tl2br w:val="nil"/>
              <w:tr2bl w:val="nil"/>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高基424分学科专任教师数</w:t>
            </w:r>
          </w:p>
        </w:tc>
        <w:tc>
          <w:tcPr>
            <w:tcW w:w="8573" w:type="dxa"/>
            <w:tcBorders>
              <w:tl2br w:val="nil"/>
              <w:tr2bl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是指所从事教学的专业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0" w:hRule="atLeast"/>
          <w:jc w:val="center"/>
        </w:trPr>
        <w:tc>
          <w:tcPr>
            <w:tcW w:w="2150" w:type="dxa"/>
            <w:vMerge w:val="continue"/>
            <w:tcBorders>
              <w:tl2br w:val="nil"/>
              <w:tr2bl w:val="nil"/>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0" w:type="auto"/>
            <w:tcBorders>
              <w:tl2br w:val="nil"/>
              <w:tr2bl w:val="nil"/>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高基431专任教师变动情况</w:t>
            </w:r>
          </w:p>
        </w:tc>
        <w:tc>
          <w:tcPr>
            <w:tcW w:w="8573" w:type="dxa"/>
            <w:tcBorders>
              <w:tl2br w:val="nil"/>
              <w:tr2bl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与去年保持逻辑对应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tblCellMar>
            <w:top w:w="0" w:type="dxa"/>
            <w:left w:w="0" w:type="dxa"/>
            <w:bottom w:w="0" w:type="dxa"/>
            <w:right w:w="0" w:type="dxa"/>
          </w:tblCellMar>
        </w:tblPrEx>
        <w:trPr>
          <w:trHeight w:val="340" w:hRule="atLeast"/>
          <w:jc w:val="center"/>
        </w:trPr>
        <w:tc>
          <w:tcPr>
            <w:tcW w:w="2150" w:type="dxa"/>
            <w:vMerge w:val="continue"/>
            <w:tcBorders>
              <w:tl2br w:val="nil"/>
              <w:tr2bl w:val="nil"/>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0" w:type="auto"/>
            <w:tcBorders>
              <w:tl2br w:val="nil"/>
              <w:tr2bl w:val="nil"/>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高基461教职工中其他情况</w:t>
            </w:r>
          </w:p>
        </w:tc>
        <w:tc>
          <w:tcPr>
            <w:tcW w:w="8573" w:type="dxa"/>
            <w:tcBorders>
              <w:tl2br w:val="nil"/>
              <w:tr2bl w:val="nil"/>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tblCellMar>
            <w:top w:w="0" w:type="dxa"/>
            <w:left w:w="0" w:type="dxa"/>
            <w:bottom w:w="0" w:type="dxa"/>
            <w:right w:w="0" w:type="dxa"/>
          </w:tblCellMar>
        </w:tblPrEx>
        <w:trPr>
          <w:trHeight w:val="460" w:hRule="atLeast"/>
          <w:jc w:val="center"/>
        </w:trPr>
        <w:tc>
          <w:tcPr>
            <w:tcW w:w="2150" w:type="dxa"/>
            <w:vMerge w:val="restart"/>
            <w:tcBorders>
              <w:tl2br w:val="nil"/>
              <w:tr2bl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党政办公室（信息化中心合署）（机要办公室挂靠）</w:t>
            </w:r>
          </w:p>
        </w:tc>
        <w:tc>
          <w:tcPr>
            <w:tcW w:w="3737" w:type="dxa"/>
            <w:tcBorders>
              <w:tl2br w:val="nil"/>
              <w:tr2bl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高基112学校（机构）基本情况</w:t>
            </w:r>
          </w:p>
        </w:tc>
        <w:tc>
          <w:tcPr>
            <w:tcW w:w="8573" w:type="dxa"/>
            <w:tcBorders>
              <w:tl2br w:val="nil"/>
              <w:tr2bl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编号05、06、07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jc w:val="center"/>
        </w:trPr>
        <w:tc>
          <w:tcPr>
            <w:tcW w:w="2150" w:type="dxa"/>
            <w:vMerge w:val="continue"/>
            <w:tcBorders>
              <w:tl2br w:val="nil"/>
              <w:tr2bl w:val="nil"/>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0" w:type="auto"/>
            <w:tcBorders>
              <w:tl2br w:val="nil"/>
              <w:tr2bl w:val="nil"/>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高基522信息化建设情况</w:t>
            </w:r>
          </w:p>
        </w:tc>
        <w:tc>
          <w:tcPr>
            <w:tcW w:w="8573" w:type="dxa"/>
            <w:tcBorders>
              <w:tl2br w:val="nil"/>
              <w:tr2bl w:val="nil"/>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0" w:hRule="atLeast"/>
          <w:jc w:val="center"/>
        </w:trPr>
        <w:tc>
          <w:tcPr>
            <w:tcW w:w="2150" w:type="dxa"/>
            <w:vMerge w:val="restart"/>
            <w:tcBorders>
              <w:tl2br w:val="nil"/>
              <w:tr2bl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学生工作部、保卫部、人民武装部（学生工作处、保卫处合署）</w:t>
            </w:r>
          </w:p>
        </w:tc>
        <w:tc>
          <w:tcPr>
            <w:tcW w:w="0" w:type="auto"/>
            <w:tcBorders>
              <w:tl2br w:val="nil"/>
              <w:tr2bl w:val="nil"/>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高基112学校基本情况</w:t>
            </w:r>
          </w:p>
        </w:tc>
        <w:tc>
          <w:tcPr>
            <w:tcW w:w="8573" w:type="dxa"/>
            <w:tcBorders>
              <w:tl2br w:val="nil"/>
              <w:tr2bl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编号28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0" w:hRule="atLeast"/>
          <w:jc w:val="center"/>
        </w:trPr>
        <w:tc>
          <w:tcPr>
            <w:tcW w:w="2150" w:type="dxa"/>
            <w:vMerge w:val="continue"/>
            <w:tcBorders>
              <w:tl2br w:val="nil"/>
              <w:tr2bl w:val="nil"/>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0" w:type="auto"/>
            <w:tcBorders>
              <w:tl2br w:val="nil"/>
              <w:tr2bl w:val="nil"/>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高基112学校基本情况</w:t>
            </w:r>
          </w:p>
        </w:tc>
        <w:tc>
          <w:tcPr>
            <w:tcW w:w="8573" w:type="dxa"/>
            <w:tcBorders>
              <w:tl2br w:val="nil"/>
              <w:tr2bl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编号45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jc w:val="center"/>
        </w:trPr>
        <w:tc>
          <w:tcPr>
            <w:tcW w:w="2150" w:type="dxa"/>
            <w:vMerge w:val="continue"/>
            <w:tcBorders>
              <w:tl2br w:val="nil"/>
              <w:tr2bl w:val="nil"/>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737" w:type="dxa"/>
            <w:tcBorders>
              <w:tl2br w:val="nil"/>
              <w:tr2bl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高基333在校生中死亡原因</w:t>
            </w:r>
          </w:p>
        </w:tc>
        <w:tc>
          <w:tcPr>
            <w:tcW w:w="8573" w:type="dxa"/>
            <w:tcBorders>
              <w:tl2br w:val="nil"/>
              <w:tr2bl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全部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0" w:hRule="atLeast"/>
          <w:jc w:val="center"/>
        </w:trPr>
        <w:tc>
          <w:tcPr>
            <w:tcW w:w="2150" w:type="dxa"/>
            <w:vMerge w:val="continue"/>
            <w:tcBorders>
              <w:tl2br w:val="nil"/>
              <w:tr2bl w:val="nil"/>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737" w:type="dxa"/>
            <w:tcBorders>
              <w:tl2br w:val="nil"/>
              <w:tr2bl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高基931专职辅导员分年龄、专业技术职务、学历情况</w:t>
            </w:r>
          </w:p>
        </w:tc>
        <w:tc>
          <w:tcPr>
            <w:tcW w:w="8573" w:type="dxa"/>
            <w:tcBorders>
              <w:tl2br w:val="nil"/>
              <w:tr2bl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1.不招收研究生则无研究生专职辅导员（留学生辅导员也需纳入）。2.不同分类小计要一致。3.高等学校总体上按师生比不低于1：200的比例设置本、专科生一线专职辅导员岗位。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 w:hRule="atLeast"/>
          <w:jc w:val="center"/>
        </w:trPr>
        <w:tc>
          <w:tcPr>
            <w:tcW w:w="2150" w:type="dxa"/>
            <w:vMerge w:val="continue"/>
            <w:tcBorders>
              <w:tl2br w:val="nil"/>
              <w:tr2bl w:val="nil"/>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0" w:type="auto"/>
            <w:tcBorders>
              <w:tl2br w:val="nil"/>
              <w:tr2bl w:val="nil"/>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高基932心理咨询工作人员情况</w:t>
            </w:r>
          </w:p>
        </w:tc>
        <w:tc>
          <w:tcPr>
            <w:tcW w:w="8573" w:type="dxa"/>
            <w:tcBorders>
              <w:tl2br w:val="nil"/>
              <w:tr2bl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1.每个高校至少要配备两名专职心理咨询人员。2.心理咨询工作人员也分为专职和兼职两类。包括心理咨询中心的所有工作人员和各院（系、部）的心理辅导员。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0" w:hRule="atLeast"/>
          <w:jc w:val="center"/>
        </w:trPr>
        <w:tc>
          <w:tcPr>
            <w:tcW w:w="2150" w:type="dxa"/>
            <w:vMerge w:val="restart"/>
            <w:tcBorders>
              <w:tl2br w:val="nil"/>
              <w:tr2bl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招生工作处</w:t>
            </w:r>
          </w:p>
        </w:tc>
        <w:tc>
          <w:tcPr>
            <w:tcW w:w="0" w:type="auto"/>
            <w:tcBorders>
              <w:tl2br w:val="nil"/>
              <w:tr2bl w:val="nil"/>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高基941普通专科生录取来源情况</w:t>
            </w:r>
          </w:p>
        </w:tc>
        <w:tc>
          <w:tcPr>
            <w:tcW w:w="8573" w:type="dxa"/>
            <w:tcBorders>
              <w:tl2br w:val="nil"/>
              <w:tr2bl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以录取花名册为准，按考籍填报，需要区分应届毕业生、往届毕业生、不再统计农村人数等信息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20" w:hRule="atLeast"/>
          <w:jc w:val="center"/>
        </w:trPr>
        <w:tc>
          <w:tcPr>
            <w:tcW w:w="2150" w:type="dxa"/>
            <w:vMerge w:val="continue"/>
            <w:tcBorders>
              <w:tl2br w:val="nil"/>
              <w:tr2bl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p>
        </w:tc>
        <w:tc>
          <w:tcPr>
            <w:tcW w:w="0" w:type="auto"/>
            <w:tcBorders>
              <w:tl2br w:val="nil"/>
              <w:tr2bl w:val="nil"/>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高基943普通专科生招生来源情况</w:t>
            </w:r>
          </w:p>
        </w:tc>
        <w:tc>
          <w:tcPr>
            <w:tcW w:w="8573" w:type="dxa"/>
            <w:tcBorders>
              <w:tl2br w:val="nil"/>
              <w:tr2bl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招生数为实际报到人数，按考籍填报，需要区分应届毕业生、往届毕业生、不再统计农村人数等信息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tblCellMar>
            <w:top w:w="0" w:type="dxa"/>
            <w:left w:w="0" w:type="dxa"/>
            <w:bottom w:w="0" w:type="dxa"/>
            <w:right w:w="0" w:type="dxa"/>
          </w:tblCellMar>
        </w:tblPrEx>
        <w:trPr>
          <w:trHeight w:val="580" w:hRule="atLeast"/>
          <w:jc w:val="center"/>
        </w:trPr>
        <w:tc>
          <w:tcPr>
            <w:tcW w:w="2150" w:type="dxa"/>
            <w:vMerge w:val="restart"/>
            <w:tcBorders>
              <w:tl2br w:val="nil"/>
              <w:tr2bl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图书馆（人文社科处合署）</w:t>
            </w:r>
          </w:p>
        </w:tc>
        <w:tc>
          <w:tcPr>
            <w:tcW w:w="3737" w:type="dxa"/>
            <w:tcBorders>
              <w:tl2br w:val="nil"/>
              <w:tr2bl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高基521资产情况</w:t>
            </w:r>
          </w:p>
        </w:tc>
        <w:tc>
          <w:tcPr>
            <w:tcW w:w="8573" w:type="dxa"/>
            <w:tcBorders>
              <w:tl2br w:val="nil"/>
              <w:tr2bl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第4、5列图书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0" w:hRule="atLeast"/>
          <w:jc w:val="center"/>
        </w:trPr>
        <w:tc>
          <w:tcPr>
            <w:tcW w:w="2150" w:type="dxa"/>
            <w:vMerge w:val="continue"/>
            <w:tcBorders>
              <w:tl2br w:val="nil"/>
              <w:tr2bl w:val="nil"/>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737" w:type="dxa"/>
            <w:tcBorders>
              <w:tl2br w:val="nil"/>
              <w:tr2bl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高基522信息化建设情况</w:t>
            </w:r>
          </w:p>
        </w:tc>
        <w:tc>
          <w:tcPr>
            <w:tcW w:w="8573" w:type="dxa"/>
            <w:tcBorders>
              <w:tl2br w:val="nil"/>
              <w:tr2bl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第6-9列数字资源量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0" w:hRule="atLeast"/>
          <w:jc w:val="center"/>
        </w:trPr>
        <w:tc>
          <w:tcPr>
            <w:tcW w:w="2150" w:type="dxa"/>
            <w:vMerge w:val="continue"/>
            <w:tcBorders>
              <w:tl2br w:val="nil"/>
              <w:tr2bl w:val="nil"/>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737" w:type="dxa"/>
            <w:tcBorders>
              <w:tl2br w:val="nil"/>
              <w:tr2bl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高基112学校（机构）基本情况</w:t>
            </w:r>
          </w:p>
        </w:tc>
        <w:tc>
          <w:tcPr>
            <w:tcW w:w="8573" w:type="dxa"/>
            <w:tcBorders>
              <w:tl2br w:val="nil"/>
              <w:tr2bl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编号26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tblCellMar>
            <w:top w:w="0" w:type="dxa"/>
            <w:left w:w="0" w:type="dxa"/>
            <w:bottom w:w="0" w:type="dxa"/>
            <w:right w:w="0" w:type="dxa"/>
          </w:tblCellMar>
        </w:tblPrEx>
        <w:trPr>
          <w:trHeight w:val="580" w:hRule="atLeast"/>
          <w:jc w:val="center"/>
        </w:trPr>
        <w:tc>
          <w:tcPr>
            <w:tcW w:w="2150" w:type="dxa"/>
            <w:vMerge w:val="restart"/>
            <w:tcBorders>
              <w:tl2br w:val="nil"/>
              <w:tr2bl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国有资产管理处</w:t>
            </w:r>
          </w:p>
        </w:tc>
        <w:tc>
          <w:tcPr>
            <w:tcW w:w="3737" w:type="dxa"/>
            <w:tcBorders>
              <w:tl2br w:val="nil"/>
              <w:tr2bl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高基112学校（机构）基本情况</w:t>
            </w:r>
          </w:p>
        </w:tc>
        <w:tc>
          <w:tcPr>
            <w:tcW w:w="8573" w:type="dxa"/>
            <w:tcBorders>
              <w:tl2br w:val="nil"/>
              <w:tr2bl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编号47-53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0" w:hRule="atLeast"/>
          <w:jc w:val="center"/>
        </w:trPr>
        <w:tc>
          <w:tcPr>
            <w:tcW w:w="2150" w:type="dxa"/>
            <w:vMerge w:val="continue"/>
            <w:tcBorders>
              <w:tl2br w:val="nil"/>
              <w:tr2bl w:val="nil"/>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737" w:type="dxa"/>
            <w:tcBorders>
              <w:tl2br w:val="nil"/>
              <w:tr2bl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高基511校舍情况</w:t>
            </w:r>
          </w:p>
        </w:tc>
        <w:tc>
          <w:tcPr>
            <w:tcW w:w="8573" w:type="dxa"/>
            <w:tcBorders>
              <w:tl2br w:val="nil"/>
              <w:tr2bl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学校产权校舍建筑面积、非学校产权校舍建筑面积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0" w:hRule="atLeast"/>
          <w:jc w:val="center"/>
        </w:trPr>
        <w:tc>
          <w:tcPr>
            <w:tcW w:w="2150" w:type="dxa"/>
            <w:vMerge w:val="continue"/>
            <w:tcBorders>
              <w:tl2br w:val="nil"/>
              <w:tr2bl w:val="nil"/>
            </w:tcBorders>
            <w:shd w:val="clear"/>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737" w:type="dxa"/>
            <w:tcBorders>
              <w:tl2br w:val="nil"/>
              <w:tr2bl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高基521资产情况</w:t>
            </w:r>
          </w:p>
        </w:tc>
        <w:tc>
          <w:tcPr>
            <w:tcW w:w="8573" w:type="dxa"/>
            <w:tcBorders>
              <w:tl2br w:val="nil"/>
              <w:tr2bl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第1、2、3列占地面积</w:t>
            </w:r>
            <w:r>
              <w:rPr>
                <w:rFonts w:hint="eastAsia" w:ascii="宋体" w:hAnsi="宋体" w:eastAsia="宋体" w:cs="宋体"/>
                <w:i w:val="0"/>
                <w:color w:val="000000"/>
                <w:kern w:val="0"/>
                <w:sz w:val="22"/>
                <w:szCs w:val="22"/>
                <w:u w:val="none"/>
                <w:bdr w:val="none" w:color="auto" w:sz="0" w:space="0"/>
                <w:lang w:val="en-US" w:eastAsia="zh-CN" w:bidi="ar"/>
              </w:rPr>
              <w:br w:type="textWrapping"/>
            </w:r>
            <w:r>
              <w:rPr>
                <w:rFonts w:hint="eastAsia" w:ascii="宋体" w:hAnsi="宋体" w:eastAsia="宋体" w:cs="宋体"/>
                <w:i w:val="0"/>
                <w:color w:val="000000"/>
                <w:kern w:val="0"/>
                <w:sz w:val="22"/>
                <w:szCs w:val="22"/>
                <w:u w:val="none"/>
                <w:bdr w:val="none" w:color="auto" w:sz="0" w:space="0"/>
                <w:lang w:val="en-US" w:eastAsia="zh-CN" w:bidi="ar"/>
              </w:rPr>
              <w:t>第6、7、8列计算机数第9、10列教室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0" w:hRule="atLeast"/>
          <w:jc w:val="center"/>
        </w:trPr>
        <w:tc>
          <w:tcPr>
            <w:tcW w:w="0" w:type="auto"/>
            <w:tcBorders>
              <w:tl2br w:val="nil"/>
              <w:tr2bl w:val="nil"/>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财务处</w:t>
            </w:r>
          </w:p>
        </w:tc>
        <w:tc>
          <w:tcPr>
            <w:tcW w:w="3737" w:type="dxa"/>
            <w:tcBorders>
              <w:tl2br w:val="nil"/>
              <w:tr2bl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高基521资产情况</w:t>
            </w:r>
          </w:p>
        </w:tc>
        <w:tc>
          <w:tcPr>
            <w:tcW w:w="8573" w:type="dxa"/>
            <w:tcBorders>
              <w:tl2br w:val="nil"/>
              <w:tr2bl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第11-15列固定资产总值</w:t>
            </w:r>
            <w:r>
              <w:rPr>
                <w:rFonts w:hint="eastAsia" w:ascii="宋体" w:hAnsi="宋体" w:eastAsia="宋体" w:cs="宋体"/>
                <w:i w:val="0"/>
                <w:color w:val="000000"/>
                <w:kern w:val="0"/>
                <w:sz w:val="22"/>
                <w:szCs w:val="22"/>
                <w:u w:val="none"/>
                <w:bdr w:val="none" w:color="auto" w:sz="0" w:space="0"/>
                <w:lang w:val="en-US" w:eastAsia="zh-CN" w:bidi="ar"/>
              </w:rPr>
              <w:br w:type="textWrapping"/>
            </w:r>
            <w:r>
              <w:rPr>
                <w:rFonts w:hint="eastAsia" w:ascii="宋体" w:hAnsi="宋体" w:eastAsia="宋体" w:cs="宋体"/>
                <w:i w:val="0"/>
                <w:color w:val="000000"/>
                <w:kern w:val="0"/>
                <w:sz w:val="22"/>
                <w:szCs w:val="22"/>
                <w:u w:val="none"/>
                <w:bdr w:val="none" w:color="auto" w:sz="0" w:space="0"/>
                <w:lang w:val="en-US" w:eastAsia="zh-CN" w:bidi="ar"/>
              </w:rPr>
              <w:t>（非学校产权也要填）</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40" w:hRule="atLeast"/>
          <w:jc w:val="center"/>
        </w:trPr>
        <w:tc>
          <w:tcPr>
            <w:tcW w:w="2150" w:type="dxa"/>
            <w:tcBorders>
              <w:tl2br w:val="nil"/>
              <w:tr2bl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备注</w:t>
            </w:r>
          </w:p>
        </w:tc>
        <w:tc>
          <w:tcPr>
            <w:tcW w:w="12310" w:type="dxa"/>
            <w:gridSpan w:val="2"/>
            <w:tcBorders>
              <w:tl2br w:val="nil"/>
              <w:tr2bl w:val="nil"/>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1、统计时点：是指统计数据的调查截止时间，即本学年初9月1日。</w:t>
            </w:r>
            <w:r>
              <w:rPr>
                <w:rFonts w:hint="eastAsia" w:ascii="宋体" w:hAnsi="宋体" w:eastAsia="宋体" w:cs="宋体"/>
                <w:i w:val="0"/>
                <w:color w:val="000000"/>
                <w:kern w:val="0"/>
                <w:sz w:val="22"/>
                <w:szCs w:val="22"/>
                <w:u w:val="none"/>
                <w:bdr w:val="none" w:color="auto" w:sz="0" w:space="0"/>
                <w:lang w:val="en-US" w:eastAsia="zh-CN" w:bidi="ar"/>
              </w:rPr>
              <w:br w:type="textWrapping"/>
            </w:r>
            <w:r>
              <w:rPr>
                <w:rFonts w:hint="eastAsia" w:ascii="宋体" w:hAnsi="宋体" w:eastAsia="宋体" w:cs="宋体"/>
                <w:i w:val="0"/>
                <w:color w:val="000000"/>
                <w:kern w:val="0"/>
                <w:sz w:val="22"/>
                <w:szCs w:val="22"/>
                <w:u w:val="none"/>
                <w:bdr w:val="none" w:color="auto" w:sz="0" w:space="0"/>
                <w:lang w:val="en-US" w:eastAsia="zh-CN" w:bidi="ar"/>
              </w:rPr>
              <w:t>2、统计时期：是指统计数据的调查区间时间，即从上学年度的学年初9月1日至学年末8月31日时间区间。</w:t>
            </w:r>
            <w:r>
              <w:rPr>
                <w:rFonts w:hint="eastAsia" w:ascii="宋体" w:hAnsi="宋体" w:eastAsia="宋体" w:cs="宋体"/>
                <w:i w:val="0"/>
                <w:color w:val="000000"/>
                <w:kern w:val="0"/>
                <w:sz w:val="22"/>
                <w:szCs w:val="22"/>
                <w:u w:val="none"/>
                <w:bdr w:val="none" w:color="auto" w:sz="0" w:space="0"/>
                <w:lang w:val="en-US" w:eastAsia="zh-CN" w:bidi="ar"/>
              </w:rPr>
              <w:br w:type="textWrapping"/>
            </w:r>
            <w:r>
              <w:rPr>
                <w:rFonts w:hint="eastAsia" w:ascii="宋体" w:hAnsi="宋体" w:eastAsia="宋体" w:cs="宋体"/>
                <w:i w:val="0"/>
                <w:color w:val="000000"/>
                <w:kern w:val="0"/>
                <w:sz w:val="22"/>
                <w:szCs w:val="22"/>
                <w:u w:val="none"/>
                <w:bdr w:val="none" w:color="auto" w:sz="0" w:space="0"/>
                <w:lang w:val="en-US" w:eastAsia="zh-CN" w:bidi="ar"/>
              </w:rPr>
              <w:t>3、填报时不要更改报表格式，表内显示阴影部分不用填写。</w:t>
            </w:r>
            <w:r>
              <w:rPr>
                <w:rFonts w:hint="eastAsia" w:ascii="宋体" w:hAnsi="宋体" w:eastAsia="宋体" w:cs="宋体"/>
                <w:i w:val="0"/>
                <w:color w:val="000000"/>
                <w:kern w:val="0"/>
                <w:sz w:val="22"/>
                <w:szCs w:val="22"/>
                <w:u w:val="none"/>
                <w:bdr w:val="none" w:color="auto" w:sz="0" w:space="0"/>
                <w:lang w:val="en-US" w:eastAsia="zh-CN" w:bidi="ar"/>
              </w:rPr>
              <w:br w:type="textWrapping"/>
            </w:r>
            <w:r>
              <w:rPr>
                <w:rFonts w:hint="eastAsia" w:ascii="宋体" w:hAnsi="宋体" w:eastAsia="宋体" w:cs="宋体"/>
                <w:i w:val="0"/>
                <w:color w:val="000000"/>
                <w:kern w:val="0"/>
                <w:sz w:val="22"/>
                <w:szCs w:val="22"/>
                <w:u w:val="none"/>
                <w:bdr w:val="none" w:color="auto" w:sz="0" w:space="0"/>
                <w:lang w:val="en-US" w:eastAsia="zh-CN" w:bidi="ar"/>
              </w:rPr>
              <w:t>4、统计工作QQ群：375031121</w:t>
            </w:r>
          </w:p>
        </w:tc>
      </w:tr>
    </w:tbl>
    <w:p/>
    <w:sectPr>
      <w:pgSz w:w="16840" w:h="11906" w:orient="landscape"/>
      <w:pgMar w:top="1440" w:right="1800" w:bottom="1440" w:left="1800" w:header="720" w:footer="720" w:gutter="0"/>
      <w:pgBorders>
        <w:top w:val="none" w:sz="0" w:space="0"/>
        <w:left w:val="none" w:sz="0" w:space="0"/>
        <w:bottom w:val="none" w:sz="0" w:space="0"/>
        <w:right w:val="none" w:sz="0" w:space="0"/>
      </w:pgBorder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2EFF" w:usb1="C000247B" w:usb2="00000009" w:usb3="00000000" w:csb0="200001FF" w:csb1="00000000"/>
  </w:font>
  <w:font w:name="Calibri">
    <w:panose1 w:val="020F0502020204030204"/>
    <w:charset w:val="00"/>
    <w:family w:val="auto"/>
    <w:pitch w:val="default"/>
    <w:sig w:usb0="E0002EFF" w:usb1="C000247B" w:usb2="00000009" w:usb3="00000000" w:csb0="200001FF" w:csb1="00000000"/>
  </w:font>
  <w:font w:name="Adobe 黑体 Std R">
    <w:panose1 w:val="020B0400000000000000"/>
    <w:charset w:val="80"/>
    <w:family w:val="swiss"/>
    <w:pitch w:val="default"/>
    <w:sig w:usb0="00000001" w:usb1="0A0F1810" w:usb2="00000016" w:usb3="00000000" w:csb0="00060007" w:csb1="00000000"/>
  </w:font>
  <w:font w:name="思源黑体 CN Bold">
    <w:panose1 w:val="020B0800000000000000"/>
    <w:charset w:val="80"/>
    <w:family w:val="swiss"/>
    <w:pitch w:val="default"/>
    <w:sig w:usb0="20000003" w:usb1="2ADF3C10" w:usb2="00000016" w:usb3="00000000" w:csb0="60060107" w:csb1="00000000"/>
  </w:font>
  <w:font w:name="Adobe 黑体 Std R">
    <w:panose1 w:val="020B0400000000000000"/>
    <w:charset w:val="86"/>
    <w:family w:val="auto"/>
    <w:pitch w:val="default"/>
    <w:sig w:usb0="00000001" w:usb1="0A0F1810" w:usb2="00000016" w:usb3="00000000" w:csb0="00060007" w:csb1="00000000"/>
  </w:font>
  <w:font w:name="华文细黑">
    <w:panose1 w:val="02010600040101010101"/>
    <w:charset w:val="86"/>
    <w:family w:val="auto"/>
    <w:pitch w:val="default"/>
    <w:sig w:usb0="00000287" w:usb1="080F0000" w:usb2="00000000" w:usb3="00000000" w:csb0="0004009F" w:csb1="DFD7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compat>
    <w:ulTrailSpace/>
    <w:doNotExpandShiftReturn/>
    <w:doNotWrapTextWithPunct/>
    <w:doNotUseEastAsianBreakRules/>
    <w:useFELayout/>
    <w:doNotUseIndentAsNumberingTabStop/>
    <w:useAltKinsokuLineBreakRules/>
    <w:compatSetting w:name="compatibilityMode" w:uri="http://schemas.microsoft.com/office/word" w:val="12"/>
  </w:compat>
  <w:rsids>
    <w:rsidRoot w:val="00000000"/>
    <w:rsid w:val="06263CC4"/>
    <w:rsid w:val="0D56002C"/>
    <w:rsid w:val="120840A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spacing w:after="0" w:line="240" w:lineRule="auto"/>
    </w:pPr>
    <w:rPr>
      <w:rFonts w:asciiTheme="minorHAnsi" w:hAnsiTheme="minorHAnsi" w:eastAsiaTheme="minorHAnsi" w:cstheme="minorBidi"/>
      <w:sz w:val="22"/>
      <w:szCs w:val="22"/>
      <w:lang w:val="en-US" w:eastAsia="en-US" w:bidi="ar-SA"/>
    </w:rPr>
  </w:style>
  <w:style w:type="character" w:default="1" w:styleId="4">
    <w:name w:val="Default Paragraph Font"/>
    <w:semiHidden/>
    <w:unhideWhenUsed/>
    <w:qFormat/>
    <w:uiPriority w:val="1"/>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qFormat/>
    <w:uiPriority w:val="1"/>
    <w:rPr>
      <w:rFonts w:ascii="Adobe 黑体 Std R" w:hAnsi="Adobe 黑体 Std R" w:eastAsia="Adobe 黑体 Std R"/>
      <w:sz w:val="36"/>
      <w:szCs w:val="36"/>
    </w:rPr>
  </w:style>
  <w:style w:type="table" w:customStyle="1" w:styleId="5">
    <w:name w:val="Table Normal"/>
    <w:semiHidden/>
    <w:unhideWhenUsed/>
    <w:qFormat/>
    <w:uiPriority w:val="2"/>
    <w:tblPr>
      <w:tblCellMar>
        <w:top w:w="0" w:type="dxa"/>
        <w:left w:w="0" w:type="dxa"/>
        <w:bottom w:w="0" w:type="dxa"/>
        <w:right w:w="0" w:type="dxa"/>
      </w:tblCellMar>
    </w:tblPr>
  </w:style>
  <w:style w:type="paragraph" w:styleId="6">
    <w:name w:val="List Paragraph"/>
    <w:basedOn w:val="1"/>
    <w:qFormat/>
    <w:uiPriority w:val="1"/>
  </w:style>
  <w:style w:type="paragraph" w:customStyle="1" w:styleId="7">
    <w:name w:val="Table Paragraph"/>
    <w:basedOn w:val="1"/>
    <w:qFormat/>
    <w:uiPriority w:val="1"/>
  </w:style>
  <w:style w:type="character" w:customStyle="1" w:styleId="8">
    <w:name w:val="font01"/>
    <w:basedOn w:val="4"/>
    <w:uiPriority w:val="0"/>
    <w:rPr>
      <w:rFonts w:hint="eastAsia" w:ascii="宋体" w:hAnsi="宋体" w:eastAsia="宋体" w:cs="宋体"/>
      <w:b/>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TotalTime>124</TotalTime>
  <ScaleCrop>false</ScaleCrop>
  <LinksUpToDate>false</LinksUpToDate>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2020-09-27T12:56:00Z</dcterms:created>
  <dc:creator>chao sheng</dc:creator>
  <cp:lastModifiedBy>idchh</cp:lastModifiedBy>
  <cp:lastPrinted>2020-09-27T05:13:08Z</cp:lastPrinted>
  <dcterms:modified xsi:type="dcterms:W3CDTF">2020-09-27T07:51:36Z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2020-09-25T00:00:00Z</vt:filetime>
  </property>
  <property fmtid="{D5CDD505-2E9C-101B-9397-08002B2CF9AE}" pid="3" name="LastSaved">
    <vt:filetime>2020-09-27T00:00:00Z</vt:filetime>
  </property>
  <property fmtid="{D5CDD505-2E9C-101B-9397-08002B2CF9AE}" pid="4" name="KSOProductBuildVer">
    <vt:lpwstr>2052-11.3.0.9228</vt:lpwstr>
  </property>
</Properties>
</file>